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58B8" w14:textId="77777777" w:rsidR="00284788" w:rsidRPr="00FC701F" w:rsidRDefault="00284788" w:rsidP="00284788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>
        <w:rPr>
          <w:b/>
          <w:sz w:val="30"/>
          <w:szCs w:val="30"/>
        </w:rPr>
        <w:t>Acetaminophen (APAP) Overdose</w:t>
      </w:r>
    </w:p>
    <w:p w14:paraId="414A6D73" w14:textId="77777777" w:rsidR="00284788" w:rsidRDefault="00284788" w:rsidP="00284788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>
        <w:rPr>
          <w:sz w:val="16"/>
          <w:szCs w:val="16"/>
        </w:rPr>
        <w:t>, the US Air Force, the NYIT College of Osteopathic Medicine,</w:t>
      </w:r>
      <w:r w:rsidRPr="00D06D4B">
        <w:rPr>
          <w:sz w:val="16"/>
          <w:szCs w:val="16"/>
        </w:rPr>
        <w:t xml:space="preserve"> or the</w:t>
      </w:r>
      <w:r>
        <w:rPr>
          <w:sz w:val="16"/>
          <w:szCs w:val="16"/>
        </w:rPr>
        <w:t xml:space="preserve"> Fort Hood Post Command</w:t>
      </w:r>
      <w:r>
        <w:rPr>
          <w:rFonts w:cstheme="minorHAnsi"/>
          <w:sz w:val="16"/>
          <w:szCs w:val="16"/>
        </w:rPr>
        <w:t>©</w:t>
      </w:r>
      <w:r>
        <w:rPr>
          <w:sz w:val="16"/>
          <w:szCs w:val="16"/>
        </w:rPr>
        <w:t xml:space="preserve">2014 EM Basic LLC, Andrea </w:t>
      </w:r>
      <w:proofErr w:type="spellStart"/>
      <w:r>
        <w:rPr>
          <w:sz w:val="16"/>
          <w:szCs w:val="16"/>
        </w:rPr>
        <w:t>Sarchi</w:t>
      </w:r>
      <w:proofErr w:type="spellEnd"/>
      <w:r>
        <w:rPr>
          <w:sz w:val="16"/>
          <w:szCs w:val="16"/>
        </w:rPr>
        <w:t xml:space="preserve"> MS IV, Steve Carroll DO.  May freely distribute with proper attribution)</w:t>
      </w:r>
    </w:p>
    <w:p w14:paraId="5F55B01D" w14:textId="77777777" w:rsidR="00284788" w:rsidRDefault="00284788" w:rsidP="00284788">
      <w:pPr>
        <w:rPr>
          <w:sz w:val="16"/>
          <w:szCs w:val="16"/>
        </w:rPr>
      </w:pPr>
    </w:p>
    <w:p w14:paraId="7552327B" w14:textId="77777777" w:rsidR="00284788" w:rsidRDefault="00284788" w:rsidP="00284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6D6792BD" w14:textId="77777777" w:rsidR="00284788" w:rsidRDefault="00284788" w:rsidP="00EA148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A1486">
        <w:rPr>
          <w:sz w:val="24"/>
          <w:szCs w:val="24"/>
        </w:rPr>
        <w:t>cetaminophen is a component of hundreds of OTC and prescription medications</w:t>
      </w:r>
    </w:p>
    <w:p w14:paraId="397558D1" w14:textId="77777777" w:rsidR="00EA1486" w:rsidRDefault="00EA1486" w:rsidP="00EA1486">
      <w:pPr>
        <w:rPr>
          <w:sz w:val="24"/>
          <w:szCs w:val="24"/>
        </w:rPr>
      </w:pPr>
    </w:p>
    <w:p w14:paraId="65DD2303" w14:textId="77777777" w:rsidR="00EA1486" w:rsidRDefault="00EA1486" w:rsidP="00EA1486">
      <w:pPr>
        <w:rPr>
          <w:sz w:val="24"/>
          <w:szCs w:val="24"/>
        </w:rPr>
      </w:pPr>
      <w:r w:rsidRPr="00EA1486">
        <w:rPr>
          <w:b/>
          <w:sz w:val="24"/>
          <w:szCs w:val="24"/>
        </w:rPr>
        <w:t>Mechanism</w:t>
      </w:r>
    </w:p>
    <w:p w14:paraId="6F95292A" w14:textId="77777777" w:rsidR="00EA1486" w:rsidRDefault="00EA1486" w:rsidP="00EA1486">
      <w:pPr>
        <w:rPr>
          <w:sz w:val="24"/>
          <w:szCs w:val="24"/>
        </w:rPr>
      </w:pPr>
      <w:r>
        <w:rPr>
          <w:sz w:val="24"/>
          <w:szCs w:val="24"/>
        </w:rPr>
        <w:t xml:space="preserve">Therapeutic doses - 90% metabolized in liver by </w:t>
      </w:r>
      <w:proofErr w:type="spellStart"/>
      <w:r>
        <w:rPr>
          <w:sz w:val="24"/>
          <w:szCs w:val="24"/>
        </w:rPr>
        <w:t>sulfation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glucoronidation</w:t>
      </w:r>
      <w:proofErr w:type="spellEnd"/>
      <w:r>
        <w:rPr>
          <w:sz w:val="24"/>
          <w:szCs w:val="24"/>
        </w:rPr>
        <w:t xml:space="preserve"> to harmless conjugates, then excreted in urine-remaining 10% metabolized by hepatic P450 pathway into NAPQI, which is detoxified by hepatic glutathione</w:t>
      </w:r>
    </w:p>
    <w:p w14:paraId="485932DC" w14:textId="77777777" w:rsidR="00EA1486" w:rsidRPr="00EA1486" w:rsidRDefault="00EA1486" w:rsidP="00EA1486">
      <w:pPr>
        <w:rPr>
          <w:sz w:val="24"/>
          <w:szCs w:val="24"/>
        </w:rPr>
      </w:pPr>
      <w:r>
        <w:rPr>
          <w:sz w:val="24"/>
          <w:szCs w:val="24"/>
        </w:rPr>
        <w:t>Toxic doses – more APAP down P450 pathway</w:t>
      </w:r>
      <w:r w:rsidRPr="00EA1486">
        <w:rPr>
          <w:sz w:val="24"/>
          <w:szCs w:val="24"/>
        </w:rPr>
        <w:sym w:font="Wingdings" w:char="F0E0"/>
      </w:r>
      <w:r>
        <w:rPr>
          <w:sz w:val="24"/>
          <w:szCs w:val="24"/>
        </w:rPr>
        <w:t>more NAPQI and not enough glutathione to keep up</w:t>
      </w:r>
      <w:r w:rsidRPr="00EA1486">
        <w:rPr>
          <w:sz w:val="24"/>
          <w:szCs w:val="24"/>
        </w:rPr>
        <w:sym w:font="Wingdings" w:char="F0E0"/>
      </w:r>
      <w:r>
        <w:rPr>
          <w:sz w:val="24"/>
          <w:szCs w:val="24"/>
        </w:rPr>
        <w:t>liver injury</w:t>
      </w:r>
    </w:p>
    <w:p w14:paraId="2100EC7A" w14:textId="77777777" w:rsidR="00284788" w:rsidRDefault="00284788" w:rsidP="00284788">
      <w:pPr>
        <w:rPr>
          <w:b/>
          <w:sz w:val="24"/>
          <w:szCs w:val="24"/>
        </w:rPr>
      </w:pPr>
    </w:p>
    <w:p w14:paraId="3B7CD3E5" w14:textId="77777777" w:rsidR="00284788" w:rsidRDefault="00284788" w:rsidP="00284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14:paraId="3ED9CE49" w14:textId="77777777" w:rsidR="00A06478" w:rsidRPr="00A06478" w:rsidRDefault="00A06478" w:rsidP="002847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Acute or chronic exposure?</w:t>
      </w:r>
      <w:proofErr w:type="gramEnd"/>
      <w:r w:rsidR="002320F0">
        <w:rPr>
          <w:sz w:val="24"/>
          <w:szCs w:val="24"/>
        </w:rPr>
        <w:t xml:space="preserve"> </w:t>
      </w:r>
    </w:p>
    <w:p w14:paraId="44CB950B" w14:textId="77777777" w:rsidR="00284788" w:rsidRDefault="00284788" w:rsidP="00284788">
      <w:pPr>
        <w:rPr>
          <w:sz w:val="24"/>
          <w:szCs w:val="24"/>
        </w:rPr>
      </w:pPr>
      <w:r>
        <w:rPr>
          <w:sz w:val="24"/>
          <w:szCs w:val="24"/>
        </w:rPr>
        <w:t>Ask for ALL poisonings:</w:t>
      </w:r>
    </w:p>
    <w:p w14:paraId="5121AE9F" w14:textId="77777777" w:rsidR="00284788" w:rsidRDefault="00284788" w:rsidP="002847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did you take? </w:t>
      </w:r>
    </w:p>
    <w:p w14:paraId="1434EB9F" w14:textId="77777777" w:rsidR="00284788" w:rsidRDefault="00284788" w:rsidP="002847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Dosage – dose per tablet and how many tablets? </w:t>
      </w:r>
    </w:p>
    <w:p w14:paraId="4D3FEEC7" w14:textId="77777777" w:rsidR="00284788" w:rsidRDefault="002320F0" w:rsidP="0028478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TIME of ingestion</w:t>
      </w:r>
      <w:r w:rsidR="00284788">
        <w:rPr>
          <w:sz w:val="24"/>
          <w:szCs w:val="24"/>
        </w:rPr>
        <w:t>?</w:t>
      </w:r>
      <w:proofErr w:type="gramEnd"/>
    </w:p>
    <w:p w14:paraId="28B83517" w14:textId="77777777" w:rsidR="00284788" w:rsidRDefault="00284788" w:rsidP="002847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Suicide attempt? </w:t>
      </w:r>
    </w:p>
    <w:p w14:paraId="3DD9834E" w14:textId="77777777" w:rsidR="00284788" w:rsidRDefault="00284788" w:rsidP="00284788">
      <w:pPr>
        <w:ind w:firstLine="720"/>
        <w:rPr>
          <w:sz w:val="24"/>
          <w:szCs w:val="24"/>
        </w:rPr>
      </w:pPr>
      <w:r>
        <w:rPr>
          <w:sz w:val="24"/>
          <w:szCs w:val="24"/>
        </w:rPr>
        <w:t>Single ingestion or repeated ones?</w:t>
      </w:r>
    </w:p>
    <w:p w14:paraId="5C8F19E8" w14:textId="77777777" w:rsidR="00284788" w:rsidRDefault="00284788" w:rsidP="002847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Any </w:t>
      </w:r>
      <w:proofErr w:type="spellStart"/>
      <w:r>
        <w:rPr>
          <w:sz w:val="24"/>
          <w:szCs w:val="24"/>
        </w:rPr>
        <w:t>coingestants</w:t>
      </w:r>
      <w:proofErr w:type="spellEnd"/>
      <w:r>
        <w:rPr>
          <w:sz w:val="24"/>
          <w:szCs w:val="24"/>
        </w:rPr>
        <w:t xml:space="preserve">? </w:t>
      </w:r>
    </w:p>
    <w:p w14:paraId="78E1B990" w14:textId="77777777" w:rsidR="00284788" w:rsidRPr="00286180" w:rsidRDefault="00284788" w:rsidP="0028478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Any comorbid conditions?</w:t>
      </w:r>
      <w:proofErr w:type="gramEnd"/>
      <w:r w:rsidR="00A06478">
        <w:rPr>
          <w:sz w:val="24"/>
          <w:szCs w:val="24"/>
        </w:rPr>
        <w:t xml:space="preserve"> (</w:t>
      </w:r>
      <w:proofErr w:type="spellStart"/>
      <w:r w:rsidR="00A06478">
        <w:rPr>
          <w:sz w:val="24"/>
          <w:szCs w:val="24"/>
        </w:rPr>
        <w:t>EtOH</w:t>
      </w:r>
      <w:proofErr w:type="spellEnd"/>
      <w:r w:rsidR="00A06478">
        <w:rPr>
          <w:sz w:val="24"/>
          <w:szCs w:val="24"/>
        </w:rPr>
        <w:t xml:space="preserve"> use, anticonvulsants, Gilbert’s)</w:t>
      </w:r>
    </w:p>
    <w:p w14:paraId="0698B2D1" w14:textId="77777777" w:rsidR="00D57798" w:rsidRDefault="00D57798" w:rsidP="00284788">
      <w:pPr>
        <w:rPr>
          <w:sz w:val="24"/>
          <w:szCs w:val="24"/>
        </w:rPr>
      </w:pPr>
      <w:proofErr w:type="spellStart"/>
      <w:r w:rsidRPr="00D57798">
        <w:rPr>
          <w:b/>
          <w:sz w:val="24"/>
          <w:szCs w:val="24"/>
        </w:rPr>
        <w:t>EtOH</w:t>
      </w:r>
      <w:proofErr w:type="spellEnd"/>
      <w:r w:rsidRPr="00D57798">
        <w:rPr>
          <w:b/>
          <w:sz w:val="24"/>
          <w:szCs w:val="24"/>
        </w:rPr>
        <w:t xml:space="preserve"> use</w:t>
      </w:r>
      <w:r>
        <w:rPr>
          <w:sz w:val="24"/>
          <w:szCs w:val="24"/>
        </w:rPr>
        <w:t xml:space="preserve"> – chronic use is </w:t>
      </w:r>
      <w:proofErr w:type="gramStart"/>
      <w:r>
        <w:rPr>
          <w:sz w:val="24"/>
          <w:szCs w:val="24"/>
        </w:rPr>
        <w:t>a risk</w:t>
      </w:r>
      <w:proofErr w:type="gramEnd"/>
      <w:r>
        <w:rPr>
          <w:sz w:val="24"/>
          <w:szCs w:val="24"/>
        </w:rPr>
        <w:t xml:space="preserve"> factors in those who have ingested multiple </w:t>
      </w:r>
      <w:proofErr w:type="spellStart"/>
      <w:r>
        <w:rPr>
          <w:sz w:val="24"/>
          <w:szCs w:val="24"/>
        </w:rPr>
        <w:t>supratherapeutic</w:t>
      </w:r>
      <w:proofErr w:type="spellEnd"/>
      <w:r>
        <w:rPr>
          <w:sz w:val="24"/>
          <w:szCs w:val="24"/>
        </w:rPr>
        <w:t xml:space="preserve"> doses of APAP</w:t>
      </w:r>
    </w:p>
    <w:p w14:paraId="2B10A5D0" w14:textId="77777777" w:rsidR="00D57798" w:rsidRDefault="00D57798" w:rsidP="00284788">
      <w:pPr>
        <w:rPr>
          <w:sz w:val="24"/>
          <w:szCs w:val="24"/>
        </w:rPr>
      </w:pPr>
      <w:r>
        <w:rPr>
          <w:b/>
          <w:sz w:val="24"/>
          <w:szCs w:val="24"/>
        </w:rPr>
        <w:t>Medications</w:t>
      </w:r>
      <w:r w:rsidR="00D15A72">
        <w:rPr>
          <w:b/>
          <w:sz w:val="24"/>
          <w:szCs w:val="24"/>
        </w:rPr>
        <w:t xml:space="preserve"> that worsen outcome</w:t>
      </w:r>
    </w:p>
    <w:p w14:paraId="38B5E4A5" w14:textId="77777777" w:rsidR="001E56B4" w:rsidRDefault="001E56B4" w:rsidP="00284788">
      <w:pPr>
        <w:rPr>
          <w:sz w:val="24"/>
          <w:szCs w:val="24"/>
        </w:rPr>
      </w:pPr>
      <w:r>
        <w:rPr>
          <w:sz w:val="24"/>
          <w:szCs w:val="24"/>
        </w:rPr>
        <w:t>CYP inducers</w:t>
      </w:r>
      <w:r w:rsidR="00D15A72">
        <w:rPr>
          <w:sz w:val="24"/>
          <w:szCs w:val="24"/>
        </w:rPr>
        <w:t xml:space="preserve"> </w:t>
      </w:r>
      <w:r>
        <w:rPr>
          <w:sz w:val="24"/>
          <w:szCs w:val="24"/>
        </w:rPr>
        <w:t>– anticonvulsants (</w:t>
      </w:r>
      <w:proofErr w:type="spellStart"/>
      <w:r>
        <w:rPr>
          <w:sz w:val="24"/>
          <w:szCs w:val="24"/>
        </w:rPr>
        <w:t>carbamezapine</w:t>
      </w:r>
      <w:proofErr w:type="spellEnd"/>
      <w:r>
        <w:rPr>
          <w:sz w:val="24"/>
          <w:szCs w:val="24"/>
        </w:rPr>
        <w:t>, Phenobarbital), anti-TB drugs (INH, rifampin)</w:t>
      </w:r>
    </w:p>
    <w:p w14:paraId="35115DBE" w14:textId="77777777" w:rsidR="001E56B4" w:rsidRDefault="001E56B4" w:rsidP="00284788">
      <w:pPr>
        <w:rPr>
          <w:sz w:val="24"/>
          <w:szCs w:val="24"/>
        </w:rPr>
      </w:pPr>
      <w:r>
        <w:rPr>
          <w:sz w:val="24"/>
          <w:szCs w:val="24"/>
        </w:rPr>
        <w:t>Others – TMP-</w:t>
      </w:r>
      <w:r w:rsidR="00D15A72">
        <w:rPr>
          <w:sz w:val="24"/>
          <w:szCs w:val="24"/>
        </w:rPr>
        <w:t>SMX (</w:t>
      </w:r>
      <w:proofErr w:type="spellStart"/>
      <w:r w:rsidR="00D15A72">
        <w:rPr>
          <w:sz w:val="24"/>
          <w:szCs w:val="24"/>
        </w:rPr>
        <w:t>bactrim</w:t>
      </w:r>
      <w:proofErr w:type="spellEnd"/>
      <w:r w:rsidR="00D15A72">
        <w:rPr>
          <w:sz w:val="24"/>
          <w:szCs w:val="24"/>
        </w:rPr>
        <w:t xml:space="preserve">), </w:t>
      </w:r>
      <w:proofErr w:type="spellStart"/>
      <w:r w:rsidR="00D15A72">
        <w:rPr>
          <w:sz w:val="24"/>
          <w:szCs w:val="24"/>
        </w:rPr>
        <w:t>zidovudine</w:t>
      </w:r>
      <w:proofErr w:type="spellEnd"/>
      <w:r w:rsidR="00D15A72">
        <w:rPr>
          <w:sz w:val="24"/>
          <w:szCs w:val="24"/>
        </w:rPr>
        <w:t>, herbal supplements</w:t>
      </w:r>
    </w:p>
    <w:p w14:paraId="764606A8" w14:textId="77777777" w:rsidR="001E56B4" w:rsidRPr="00D57798" w:rsidRDefault="001E56B4" w:rsidP="002847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77A438E" w14:textId="77777777" w:rsidR="00D57798" w:rsidRPr="00307829" w:rsidRDefault="00307829" w:rsidP="00284788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ask the patient if they have taken any other pain medications such as Percocet,</w:t>
      </w:r>
      <w:r w:rsidR="004041F4">
        <w:rPr>
          <w:sz w:val="24"/>
          <w:szCs w:val="24"/>
        </w:rPr>
        <w:t xml:space="preserve"> </w:t>
      </w:r>
      <w:proofErr w:type="spellStart"/>
      <w:r w:rsidR="004041F4">
        <w:rPr>
          <w:sz w:val="24"/>
          <w:szCs w:val="24"/>
        </w:rPr>
        <w:t>vicodin</w:t>
      </w:r>
      <w:proofErr w:type="spellEnd"/>
      <w:r w:rsidR="004041F4">
        <w:rPr>
          <w:sz w:val="24"/>
          <w:szCs w:val="24"/>
        </w:rPr>
        <w:t xml:space="preserve">, etc, which </w:t>
      </w:r>
      <w:r>
        <w:rPr>
          <w:sz w:val="24"/>
          <w:szCs w:val="24"/>
        </w:rPr>
        <w:t>also contain APAP</w:t>
      </w:r>
    </w:p>
    <w:p w14:paraId="287E876A" w14:textId="77777777" w:rsidR="00284788" w:rsidRDefault="00284788" w:rsidP="00284788"/>
    <w:p w14:paraId="191DA57B" w14:textId="77777777" w:rsidR="00284788" w:rsidRDefault="00EF49BA" w:rsidP="00284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Signs/Symptoms, Physical Exam, and Lab Findings by stage</w:t>
      </w:r>
    </w:p>
    <w:p w14:paraId="21622D76" w14:textId="77777777" w:rsidR="00EF49BA" w:rsidRPr="00EF49BA" w:rsidRDefault="00EF49BA" w:rsidP="00284788">
      <w:pPr>
        <w:rPr>
          <w:sz w:val="24"/>
          <w:szCs w:val="24"/>
        </w:rPr>
      </w:pPr>
      <w:r>
        <w:rPr>
          <w:b/>
          <w:sz w:val="24"/>
          <w:szCs w:val="24"/>
        </w:rPr>
        <w:t>Vital signs</w:t>
      </w:r>
      <w:r>
        <w:rPr>
          <w:sz w:val="24"/>
          <w:szCs w:val="24"/>
        </w:rPr>
        <w:t xml:space="preserve"> – nonspecific</w:t>
      </w:r>
    </w:p>
    <w:p w14:paraId="4E76D02C" w14:textId="77777777" w:rsidR="00922159" w:rsidRDefault="00EF49BA" w:rsidP="0028478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Stage I</w:t>
      </w:r>
      <w:r w:rsidR="009A66BF">
        <w:rPr>
          <w:b/>
          <w:sz w:val="24"/>
          <w:szCs w:val="24"/>
        </w:rPr>
        <w:t xml:space="preserve"> (30 min to 24 hrs</w:t>
      </w:r>
      <w:r w:rsidR="00897E47">
        <w:rPr>
          <w:b/>
          <w:sz w:val="24"/>
          <w:szCs w:val="24"/>
        </w:rPr>
        <w:t xml:space="preserve"> post-ingestion</w:t>
      </w:r>
      <w:r w:rsidR="009A66BF">
        <w:rPr>
          <w:b/>
          <w:sz w:val="24"/>
          <w:szCs w:val="24"/>
        </w:rPr>
        <w:t>)</w:t>
      </w:r>
      <w:r w:rsidR="009A66BF">
        <w:rPr>
          <w:sz w:val="24"/>
          <w:szCs w:val="24"/>
        </w:rPr>
        <w:t xml:space="preserve"> – some patients asymptomatic, some h</w:t>
      </w:r>
      <w:r w:rsidR="00922159">
        <w:rPr>
          <w:sz w:val="24"/>
          <w:szCs w:val="24"/>
        </w:rPr>
        <w:t>ave N/V, diaphoresis, lethargy</w:t>
      </w:r>
    </w:p>
    <w:p w14:paraId="3F1D0CB0" w14:textId="77777777" w:rsidR="00EF49BA" w:rsidRDefault="00922159" w:rsidP="00284788">
      <w:pPr>
        <w:rPr>
          <w:sz w:val="24"/>
          <w:szCs w:val="24"/>
        </w:rPr>
      </w:pPr>
      <w:proofErr w:type="gramStart"/>
      <w:r w:rsidRPr="00897E47">
        <w:rPr>
          <w:b/>
          <w:sz w:val="24"/>
          <w:szCs w:val="24"/>
        </w:rPr>
        <w:t>Labs</w:t>
      </w:r>
      <w:r>
        <w:rPr>
          <w:sz w:val="24"/>
          <w:szCs w:val="24"/>
        </w:rPr>
        <w:t xml:space="preserve"> - </w:t>
      </w:r>
      <w:r w:rsidR="009A66BF" w:rsidRPr="00922159">
        <w:rPr>
          <w:sz w:val="24"/>
          <w:szCs w:val="24"/>
        </w:rPr>
        <w:t>Normal</w:t>
      </w:r>
      <w:r w:rsidR="009A66BF">
        <w:rPr>
          <w:sz w:val="24"/>
          <w:szCs w:val="24"/>
        </w:rPr>
        <w:t xml:space="preserve"> LFTs.</w:t>
      </w:r>
      <w:proofErr w:type="gramEnd"/>
    </w:p>
    <w:p w14:paraId="587C9A92" w14:textId="77777777" w:rsidR="00922159" w:rsidRDefault="00B45D77" w:rsidP="00284788">
      <w:pPr>
        <w:rPr>
          <w:sz w:val="24"/>
          <w:szCs w:val="24"/>
        </w:rPr>
      </w:pPr>
      <w:r>
        <w:rPr>
          <w:b/>
          <w:sz w:val="24"/>
          <w:szCs w:val="24"/>
        </w:rPr>
        <w:t>Stage II (24 to 72 hrs)</w:t>
      </w:r>
      <w:r>
        <w:rPr>
          <w:sz w:val="24"/>
          <w:szCs w:val="24"/>
        </w:rPr>
        <w:t xml:space="preserve"> – </w:t>
      </w:r>
      <w:r w:rsidR="00922159">
        <w:rPr>
          <w:sz w:val="24"/>
          <w:szCs w:val="24"/>
        </w:rPr>
        <w:t>stage I symptoms resolve, pt appears better clinically. As time passes, may develop RUQ pain/tenderness and hepatomegaly</w:t>
      </w:r>
    </w:p>
    <w:p w14:paraId="3F42BCB0" w14:textId="77777777" w:rsidR="00B45D77" w:rsidRDefault="00922159" w:rsidP="00284788">
      <w:pPr>
        <w:rPr>
          <w:sz w:val="24"/>
          <w:szCs w:val="24"/>
        </w:rPr>
      </w:pPr>
      <w:r>
        <w:rPr>
          <w:b/>
          <w:sz w:val="24"/>
          <w:szCs w:val="24"/>
        </w:rPr>
        <w:t>Labs</w:t>
      </w:r>
      <w:r>
        <w:rPr>
          <w:sz w:val="24"/>
          <w:szCs w:val="24"/>
        </w:rPr>
        <w:t xml:space="preserve"> - ↑ PT, ↑ total bilirubin, possible oliguria.</w:t>
      </w:r>
    </w:p>
    <w:p w14:paraId="7E4D8A1E" w14:textId="77777777" w:rsidR="00897E47" w:rsidRDefault="00897E47" w:rsidP="00284788">
      <w:pPr>
        <w:rPr>
          <w:sz w:val="24"/>
          <w:szCs w:val="24"/>
        </w:rPr>
      </w:pPr>
      <w:r>
        <w:rPr>
          <w:b/>
          <w:sz w:val="24"/>
          <w:szCs w:val="24"/>
        </w:rPr>
        <w:t>Stage III (72 to 96 hrs)</w:t>
      </w:r>
      <w:r>
        <w:rPr>
          <w:sz w:val="24"/>
          <w:szCs w:val="24"/>
        </w:rPr>
        <w:t xml:space="preserve"> </w:t>
      </w:r>
      <w:r w:rsidR="00826A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6A8C">
        <w:rPr>
          <w:sz w:val="24"/>
          <w:szCs w:val="24"/>
        </w:rPr>
        <w:t xml:space="preserve">jaundice, confusion d/t hepatic encephalopathy, cerebral edema, bleeding diathesis, </w:t>
      </w:r>
      <w:proofErr w:type="spellStart"/>
      <w:r w:rsidR="00826A8C">
        <w:rPr>
          <w:sz w:val="24"/>
          <w:szCs w:val="24"/>
        </w:rPr>
        <w:t>multiorgan</w:t>
      </w:r>
      <w:proofErr w:type="spellEnd"/>
      <w:r w:rsidR="00826A8C">
        <w:rPr>
          <w:sz w:val="24"/>
          <w:szCs w:val="24"/>
        </w:rPr>
        <w:t xml:space="preserve"> failure</w:t>
      </w:r>
      <w:r w:rsidR="00C72B42">
        <w:rPr>
          <w:sz w:val="24"/>
          <w:szCs w:val="24"/>
        </w:rPr>
        <w:t>, possible ARF</w:t>
      </w:r>
    </w:p>
    <w:p w14:paraId="7FB8AD76" w14:textId="77777777" w:rsidR="00826A8C" w:rsidRDefault="00826A8C" w:rsidP="00284788">
      <w:pPr>
        <w:rPr>
          <w:sz w:val="24"/>
          <w:szCs w:val="24"/>
        </w:rPr>
      </w:pPr>
      <w:r>
        <w:rPr>
          <w:b/>
          <w:sz w:val="24"/>
          <w:szCs w:val="24"/>
        </w:rPr>
        <w:t>Labs</w:t>
      </w:r>
      <w:r w:rsidR="00C72B42">
        <w:rPr>
          <w:sz w:val="24"/>
          <w:szCs w:val="24"/>
        </w:rPr>
        <w:t xml:space="preserve"> – ↑ AST and ALT, often &gt; 10,000 IU/L, </w:t>
      </w:r>
      <w:proofErr w:type="spellStart"/>
      <w:r w:rsidR="00C72B42">
        <w:rPr>
          <w:sz w:val="24"/>
          <w:szCs w:val="24"/>
        </w:rPr>
        <w:t>hyperammonemia</w:t>
      </w:r>
      <w:proofErr w:type="spellEnd"/>
      <w:r w:rsidR="00C72B42">
        <w:rPr>
          <w:sz w:val="24"/>
          <w:szCs w:val="24"/>
        </w:rPr>
        <w:t>, ↑ PT/INR, hypoglycemia, lactic acidosis, total bilirubin &gt;4.0 mg/</w:t>
      </w:r>
      <w:proofErr w:type="spellStart"/>
      <w:r w:rsidR="00C72B42">
        <w:rPr>
          <w:sz w:val="24"/>
          <w:szCs w:val="24"/>
        </w:rPr>
        <w:t>dL</w:t>
      </w:r>
      <w:proofErr w:type="spellEnd"/>
    </w:p>
    <w:p w14:paraId="6AE37EC7" w14:textId="77777777" w:rsidR="00B661F8" w:rsidRPr="00B661F8" w:rsidRDefault="00B661F8" w:rsidP="00284788">
      <w:pPr>
        <w:rPr>
          <w:sz w:val="24"/>
          <w:szCs w:val="24"/>
        </w:rPr>
      </w:pPr>
      <w:r>
        <w:rPr>
          <w:b/>
          <w:sz w:val="24"/>
          <w:szCs w:val="24"/>
        </w:rPr>
        <w:t>Stage IV (begins anytime 4 days to 2 wks post-ingestion)</w:t>
      </w:r>
      <w:r>
        <w:rPr>
          <w:sz w:val="24"/>
          <w:szCs w:val="24"/>
        </w:rPr>
        <w:t xml:space="preserve"> – complete clinical recovery, and eventually complete hepatic histologic recovery</w:t>
      </w:r>
    </w:p>
    <w:p w14:paraId="34837C53" w14:textId="77777777" w:rsidR="00EF49BA" w:rsidRPr="0010232E" w:rsidRDefault="00EF49BA" w:rsidP="00284788">
      <w:pPr>
        <w:rPr>
          <w:sz w:val="24"/>
          <w:szCs w:val="24"/>
        </w:rPr>
      </w:pPr>
    </w:p>
    <w:p w14:paraId="33454283" w14:textId="77777777" w:rsidR="00284788" w:rsidRPr="00EC031E" w:rsidRDefault="00703983" w:rsidP="00284788">
      <w:pPr>
        <w:rPr>
          <w:sz w:val="24"/>
          <w:szCs w:val="24"/>
        </w:rPr>
      </w:pPr>
      <w:r>
        <w:rPr>
          <w:b/>
          <w:sz w:val="24"/>
          <w:szCs w:val="24"/>
        </w:rPr>
        <w:t>Workup</w:t>
      </w:r>
    </w:p>
    <w:p w14:paraId="03156493" w14:textId="77777777" w:rsidR="00284788" w:rsidRDefault="003E7566" w:rsidP="00284788">
      <w:pPr>
        <w:rPr>
          <w:sz w:val="24"/>
          <w:szCs w:val="24"/>
        </w:rPr>
      </w:pPr>
      <w:r w:rsidRPr="003E7566">
        <w:rPr>
          <w:b/>
          <w:sz w:val="24"/>
          <w:szCs w:val="24"/>
        </w:rPr>
        <w:t>Serum APAP concentration</w:t>
      </w:r>
      <w:r>
        <w:rPr>
          <w:sz w:val="24"/>
          <w:szCs w:val="24"/>
        </w:rPr>
        <w:t xml:space="preserve"> – obtain 4 hrs after ingestion or ASAP if ingestion was &gt; 4 hrs ago</w:t>
      </w:r>
    </w:p>
    <w:p w14:paraId="66C00BBB" w14:textId="77777777" w:rsidR="003E7566" w:rsidRDefault="003E7566" w:rsidP="00284788">
      <w:pPr>
        <w:rPr>
          <w:sz w:val="24"/>
          <w:szCs w:val="24"/>
        </w:rPr>
      </w:pPr>
      <w:r>
        <w:rPr>
          <w:b/>
          <w:sz w:val="24"/>
          <w:szCs w:val="24"/>
        </w:rPr>
        <w:t>BMP</w:t>
      </w:r>
      <w:r w:rsidR="004F1FA3">
        <w:rPr>
          <w:sz w:val="24"/>
          <w:szCs w:val="24"/>
        </w:rPr>
        <w:t xml:space="preserve"> (electrolyte, glucose, renal function)</w:t>
      </w:r>
    </w:p>
    <w:p w14:paraId="708EE4D7" w14:textId="77777777" w:rsidR="004F1FA3" w:rsidRPr="004F1FA3" w:rsidRDefault="004F1FA3" w:rsidP="00284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ABG</w:t>
      </w:r>
      <w:r w:rsidR="00AC00A7">
        <w:rPr>
          <w:b/>
          <w:sz w:val="24"/>
          <w:szCs w:val="24"/>
        </w:rPr>
        <w:t>/VBG</w:t>
      </w:r>
      <w:r>
        <w:rPr>
          <w:sz w:val="24"/>
          <w:szCs w:val="24"/>
        </w:rPr>
        <w:t xml:space="preserve"> (APAP ingestion and hepatic failure can lead to acidosis)</w:t>
      </w:r>
    </w:p>
    <w:p w14:paraId="34EE1021" w14:textId="77777777" w:rsidR="00EC031E" w:rsidRDefault="004F1FA3" w:rsidP="0028478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Coags</w:t>
      </w:r>
      <w:proofErr w:type="spellEnd"/>
      <w:r>
        <w:rPr>
          <w:b/>
          <w:sz w:val="24"/>
          <w:szCs w:val="24"/>
        </w:rPr>
        <w:t>, LFTs, Ammonia level</w:t>
      </w:r>
      <w:r>
        <w:rPr>
          <w:sz w:val="24"/>
          <w:szCs w:val="24"/>
        </w:rPr>
        <w:t xml:space="preserve"> (signs of hepatotoxicity)</w:t>
      </w:r>
    </w:p>
    <w:p w14:paraId="2BED9DED" w14:textId="77777777" w:rsidR="004F1FA3" w:rsidRDefault="004F1FA3" w:rsidP="00284788">
      <w:pPr>
        <w:rPr>
          <w:sz w:val="24"/>
          <w:szCs w:val="24"/>
        </w:rPr>
      </w:pPr>
      <w:r>
        <w:rPr>
          <w:b/>
          <w:sz w:val="24"/>
          <w:szCs w:val="24"/>
        </w:rPr>
        <w:t>CBC</w:t>
      </w:r>
      <w:r>
        <w:rPr>
          <w:sz w:val="24"/>
          <w:szCs w:val="24"/>
        </w:rPr>
        <w:t xml:space="preserve"> (baseline)</w:t>
      </w:r>
    </w:p>
    <w:p w14:paraId="55D06211" w14:textId="77777777" w:rsidR="004F1FA3" w:rsidRPr="004F1FA3" w:rsidRDefault="004F1FA3" w:rsidP="00284788">
      <w:pPr>
        <w:rPr>
          <w:sz w:val="24"/>
          <w:szCs w:val="24"/>
        </w:rPr>
      </w:pPr>
      <w:r w:rsidRPr="004F1FA3">
        <w:rPr>
          <w:b/>
          <w:sz w:val="24"/>
          <w:szCs w:val="24"/>
        </w:rPr>
        <w:t xml:space="preserve">Urine </w:t>
      </w:r>
      <w:proofErr w:type="spellStart"/>
      <w:proofErr w:type="gramStart"/>
      <w:r w:rsidRPr="004F1FA3">
        <w:rPr>
          <w:b/>
          <w:sz w:val="24"/>
          <w:szCs w:val="24"/>
        </w:rPr>
        <w:t>hCG</w:t>
      </w:r>
      <w:proofErr w:type="spellEnd"/>
      <w:proofErr w:type="gramEnd"/>
      <w:r>
        <w:rPr>
          <w:sz w:val="24"/>
          <w:szCs w:val="24"/>
        </w:rPr>
        <w:t xml:space="preserve"> (women of childbearing age)</w:t>
      </w:r>
    </w:p>
    <w:p w14:paraId="364EFF44" w14:textId="77777777" w:rsidR="004F1FA3" w:rsidRDefault="00AC00A7" w:rsidP="00284788">
      <w:pPr>
        <w:rPr>
          <w:sz w:val="24"/>
          <w:szCs w:val="24"/>
        </w:rPr>
      </w:pPr>
      <w:r>
        <w:rPr>
          <w:b/>
          <w:sz w:val="24"/>
          <w:szCs w:val="24"/>
        </w:rPr>
        <w:t>ECG, ETOH, and</w:t>
      </w:r>
      <w:r w:rsidR="008D1921" w:rsidRPr="008D1921">
        <w:rPr>
          <w:b/>
          <w:sz w:val="24"/>
          <w:szCs w:val="24"/>
        </w:rPr>
        <w:t xml:space="preserve"> ASA level</w:t>
      </w:r>
      <w:r w:rsidR="008D1921">
        <w:rPr>
          <w:sz w:val="24"/>
          <w:szCs w:val="24"/>
        </w:rPr>
        <w:t xml:space="preserve"> (</w:t>
      </w:r>
      <w:proofErr w:type="spellStart"/>
      <w:r w:rsidR="008D1921">
        <w:rPr>
          <w:sz w:val="24"/>
          <w:szCs w:val="24"/>
        </w:rPr>
        <w:t>coingestions</w:t>
      </w:r>
      <w:proofErr w:type="spellEnd"/>
      <w:r w:rsidR="008D1921">
        <w:rPr>
          <w:sz w:val="24"/>
          <w:szCs w:val="24"/>
        </w:rPr>
        <w:t>)</w:t>
      </w:r>
    </w:p>
    <w:p w14:paraId="0FA3AC6C" w14:textId="77777777" w:rsidR="008D1921" w:rsidRPr="004F1FA3" w:rsidRDefault="008D1921" w:rsidP="00284788">
      <w:pPr>
        <w:rPr>
          <w:sz w:val="24"/>
          <w:szCs w:val="24"/>
        </w:rPr>
      </w:pPr>
    </w:p>
    <w:p w14:paraId="151A611C" w14:textId="77777777" w:rsidR="00284788" w:rsidRDefault="00284788" w:rsidP="00284788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</w:t>
      </w:r>
      <w:proofErr w:type="gramStart"/>
      <w:r w:rsidR="004F1FA3">
        <w:rPr>
          <w:sz w:val="24"/>
          <w:szCs w:val="24"/>
        </w:rPr>
        <w:t>in patients with chronic APAP ingestion</w:t>
      </w:r>
      <w:proofErr w:type="gramEnd"/>
      <w:r w:rsidR="004F1FA3">
        <w:rPr>
          <w:sz w:val="24"/>
          <w:szCs w:val="24"/>
        </w:rPr>
        <w:t xml:space="preserve"> who have any signs/symptoms of </w:t>
      </w:r>
      <w:proofErr w:type="spellStart"/>
      <w:r w:rsidR="004F1FA3">
        <w:rPr>
          <w:sz w:val="24"/>
          <w:szCs w:val="24"/>
        </w:rPr>
        <w:t>hepatotoxicty</w:t>
      </w:r>
      <w:proofErr w:type="spellEnd"/>
      <w:r w:rsidR="004F1FA3">
        <w:rPr>
          <w:sz w:val="24"/>
          <w:szCs w:val="24"/>
        </w:rPr>
        <w:t>, order a serum APAP concentration and AST regardless of when the ingestion occurred</w:t>
      </w:r>
      <w:r w:rsidR="004105EF">
        <w:rPr>
          <w:sz w:val="24"/>
          <w:szCs w:val="24"/>
        </w:rPr>
        <w:t xml:space="preserve"> (risk of </w:t>
      </w:r>
      <w:proofErr w:type="spellStart"/>
      <w:r w:rsidR="004105EF">
        <w:rPr>
          <w:sz w:val="24"/>
          <w:szCs w:val="24"/>
        </w:rPr>
        <w:t>hepatoxicity</w:t>
      </w:r>
      <w:proofErr w:type="spellEnd"/>
      <w:r w:rsidR="004105EF">
        <w:rPr>
          <w:sz w:val="24"/>
          <w:szCs w:val="24"/>
        </w:rPr>
        <w:t xml:space="preserve"> greater in chronic ingestion than for a single, acute OD)</w:t>
      </w:r>
    </w:p>
    <w:p w14:paraId="300C39A7" w14:textId="77777777" w:rsidR="0060012C" w:rsidRDefault="0060012C" w:rsidP="00284788">
      <w:pPr>
        <w:rPr>
          <w:sz w:val="24"/>
          <w:szCs w:val="24"/>
        </w:rPr>
      </w:pPr>
    </w:p>
    <w:p w14:paraId="600C8446" w14:textId="77777777" w:rsidR="00AC00A7" w:rsidRDefault="00AC00A7" w:rsidP="00284788">
      <w:pPr>
        <w:rPr>
          <w:sz w:val="24"/>
          <w:szCs w:val="24"/>
        </w:rPr>
      </w:pPr>
    </w:p>
    <w:p w14:paraId="5B3B4BA4" w14:textId="77777777" w:rsidR="00AC00A7" w:rsidRDefault="00AC00A7" w:rsidP="00284788">
      <w:pPr>
        <w:rPr>
          <w:sz w:val="24"/>
          <w:szCs w:val="24"/>
        </w:rPr>
      </w:pPr>
    </w:p>
    <w:p w14:paraId="0CD1C718" w14:textId="77777777" w:rsidR="00AC00A7" w:rsidRDefault="00AC00A7" w:rsidP="00284788">
      <w:pPr>
        <w:rPr>
          <w:sz w:val="24"/>
          <w:szCs w:val="24"/>
        </w:rPr>
      </w:pPr>
    </w:p>
    <w:p w14:paraId="66CFA880" w14:textId="77777777" w:rsidR="00AC00A7" w:rsidRDefault="00AC00A7" w:rsidP="00284788">
      <w:pPr>
        <w:rPr>
          <w:sz w:val="24"/>
          <w:szCs w:val="24"/>
        </w:rPr>
      </w:pPr>
    </w:p>
    <w:p w14:paraId="47802CF6" w14:textId="77777777" w:rsidR="00AC00A7" w:rsidRDefault="00AC00A7" w:rsidP="00284788">
      <w:pPr>
        <w:rPr>
          <w:sz w:val="24"/>
          <w:szCs w:val="24"/>
        </w:rPr>
      </w:pPr>
    </w:p>
    <w:p w14:paraId="1B49B9E1" w14:textId="77777777" w:rsidR="00AC00A7" w:rsidRDefault="00AC00A7" w:rsidP="00284788">
      <w:pPr>
        <w:rPr>
          <w:sz w:val="24"/>
          <w:szCs w:val="24"/>
        </w:rPr>
      </w:pPr>
    </w:p>
    <w:p w14:paraId="766C9E6A" w14:textId="77777777" w:rsidR="00AC00A7" w:rsidRDefault="00AC00A7" w:rsidP="00284788">
      <w:pPr>
        <w:rPr>
          <w:sz w:val="24"/>
          <w:szCs w:val="24"/>
        </w:rPr>
      </w:pPr>
    </w:p>
    <w:p w14:paraId="400632C2" w14:textId="77777777" w:rsidR="00AC00A7" w:rsidRDefault="00AC00A7" w:rsidP="00284788">
      <w:pPr>
        <w:rPr>
          <w:sz w:val="24"/>
          <w:szCs w:val="24"/>
        </w:rPr>
      </w:pPr>
    </w:p>
    <w:p w14:paraId="48D605D5" w14:textId="77777777" w:rsidR="00AC00A7" w:rsidRPr="00183433" w:rsidRDefault="00AC00A7" w:rsidP="00284788">
      <w:pPr>
        <w:rPr>
          <w:sz w:val="24"/>
          <w:szCs w:val="24"/>
        </w:rPr>
      </w:pPr>
      <w:bookmarkStart w:id="0" w:name="_GoBack"/>
      <w:bookmarkEnd w:id="0"/>
    </w:p>
    <w:p w14:paraId="55AA8F8C" w14:textId="77777777" w:rsidR="00284788" w:rsidRDefault="00284788" w:rsidP="002847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Management</w:t>
      </w:r>
    </w:p>
    <w:p w14:paraId="0B51DF87" w14:textId="77777777" w:rsidR="00284788" w:rsidRDefault="00284788" w:rsidP="00284788">
      <w:pPr>
        <w:rPr>
          <w:sz w:val="24"/>
          <w:szCs w:val="24"/>
        </w:rPr>
      </w:pPr>
      <w:r>
        <w:rPr>
          <w:b/>
          <w:sz w:val="24"/>
          <w:szCs w:val="24"/>
        </w:rPr>
        <w:t>ABCs</w:t>
      </w:r>
    </w:p>
    <w:p w14:paraId="5EF90692" w14:textId="77777777" w:rsidR="00284788" w:rsidRDefault="00284788" w:rsidP="007F024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O2 </w:t>
      </w:r>
      <w:r w:rsidR="007F024D">
        <w:rPr>
          <w:sz w:val="24"/>
          <w:szCs w:val="24"/>
        </w:rPr>
        <w:t>and fluids as necessary</w:t>
      </w:r>
    </w:p>
    <w:p w14:paraId="127E08A7" w14:textId="77777777" w:rsidR="00B078E1" w:rsidRDefault="00B078E1" w:rsidP="00284788">
      <w:pPr>
        <w:ind w:left="720"/>
        <w:rPr>
          <w:sz w:val="24"/>
          <w:szCs w:val="24"/>
        </w:rPr>
      </w:pPr>
      <w:r>
        <w:rPr>
          <w:sz w:val="24"/>
          <w:szCs w:val="24"/>
        </w:rPr>
        <w:t>Cardiac monitor</w:t>
      </w:r>
      <w:r w:rsidR="004500AB">
        <w:rPr>
          <w:sz w:val="24"/>
          <w:szCs w:val="24"/>
        </w:rPr>
        <w:t xml:space="preserve"> (</w:t>
      </w:r>
      <w:proofErr w:type="spellStart"/>
      <w:r w:rsidR="004500AB">
        <w:rPr>
          <w:sz w:val="24"/>
          <w:szCs w:val="24"/>
        </w:rPr>
        <w:t>coingestions</w:t>
      </w:r>
      <w:proofErr w:type="spellEnd"/>
      <w:r w:rsidR="004500AB">
        <w:rPr>
          <w:sz w:val="24"/>
          <w:szCs w:val="24"/>
        </w:rPr>
        <w:t>)</w:t>
      </w:r>
    </w:p>
    <w:p w14:paraId="081E9A94" w14:textId="77777777" w:rsidR="000154A7" w:rsidRDefault="0060012C" w:rsidP="000154A7">
      <w:pPr>
        <w:rPr>
          <w:sz w:val="24"/>
          <w:szCs w:val="24"/>
        </w:rPr>
      </w:pPr>
      <w:r w:rsidRPr="0060012C">
        <w:rPr>
          <w:b/>
          <w:sz w:val="24"/>
          <w:szCs w:val="24"/>
        </w:rPr>
        <w:t>Activated Charcoal</w:t>
      </w:r>
      <w:r>
        <w:rPr>
          <w:sz w:val="24"/>
          <w:szCs w:val="24"/>
        </w:rPr>
        <w:t xml:space="preserve"> – 1g/kg up to 50 g PO within 4 hrs of ingestion</w:t>
      </w:r>
    </w:p>
    <w:p w14:paraId="191CE42E" w14:textId="77777777" w:rsidR="00570B85" w:rsidRDefault="003E7F46" w:rsidP="000154A7">
      <w:pPr>
        <w:rPr>
          <w:sz w:val="24"/>
          <w:szCs w:val="24"/>
        </w:rPr>
      </w:pPr>
      <w:r>
        <w:rPr>
          <w:b/>
          <w:sz w:val="24"/>
          <w:szCs w:val="24"/>
        </w:rPr>
        <w:t>N-</w:t>
      </w:r>
      <w:proofErr w:type="spellStart"/>
      <w:r>
        <w:rPr>
          <w:b/>
          <w:sz w:val="24"/>
          <w:szCs w:val="24"/>
        </w:rPr>
        <w:t>acetylcysteine</w:t>
      </w:r>
      <w:proofErr w:type="spellEnd"/>
      <w:r>
        <w:rPr>
          <w:b/>
          <w:sz w:val="24"/>
          <w:szCs w:val="24"/>
        </w:rPr>
        <w:t xml:space="preserve"> (NAC)</w:t>
      </w:r>
    </w:p>
    <w:p w14:paraId="046A65F9" w14:textId="77777777" w:rsidR="00570B85" w:rsidRDefault="00570B85" w:rsidP="000154A7">
      <w:pPr>
        <w:rPr>
          <w:sz w:val="24"/>
          <w:szCs w:val="24"/>
        </w:rPr>
      </w:pPr>
      <w:r>
        <w:rPr>
          <w:sz w:val="24"/>
          <w:szCs w:val="24"/>
        </w:rPr>
        <w:t>Indications</w:t>
      </w:r>
    </w:p>
    <w:p w14:paraId="00D6A9D9" w14:textId="77777777" w:rsidR="00570B85" w:rsidRDefault="00570B85" w:rsidP="000154A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Serum APAP concentration above </w:t>
      </w:r>
      <w:proofErr w:type="spellStart"/>
      <w:proofErr w:type="gramStart"/>
      <w:r>
        <w:rPr>
          <w:sz w:val="24"/>
          <w:szCs w:val="24"/>
        </w:rPr>
        <w:t>tx</w:t>
      </w:r>
      <w:proofErr w:type="spellEnd"/>
      <w:proofErr w:type="gramEnd"/>
      <w:r>
        <w:rPr>
          <w:sz w:val="24"/>
          <w:szCs w:val="24"/>
        </w:rPr>
        <w:t xml:space="preserve"> line on </w:t>
      </w:r>
      <w:proofErr w:type="spellStart"/>
      <w:r>
        <w:rPr>
          <w:sz w:val="24"/>
          <w:szCs w:val="24"/>
        </w:rPr>
        <w:t>nomogram</w:t>
      </w:r>
      <w:proofErr w:type="spellEnd"/>
      <w:r>
        <w:rPr>
          <w:sz w:val="24"/>
          <w:szCs w:val="24"/>
        </w:rPr>
        <w:t xml:space="preserve"> (Fig. 1)</w:t>
      </w:r>
    </w:p>
    <w:p w14:paraId="463E99A3" w14:textId="77777777" w:rsidR="00570B85" w:rsidRDefault="00570B85" w:rsidP="00570B85">
      <w:pPr>
        <w:ind w:left="720"/>
        <w:rPr>
          <w:sz w:val="24"/>
          <w:szCs w:val="24"/>
        </w:rPr>
      </w:pPr>
      <w:r>
        <w:rPr>
          <w:sz w:val="24"/>
          <w:szCs w:val="24"/>
        </w:rPr>
        <w:t>Single APAP ingestion &gt; 150 mg/kg or 7.5</w:t>
      </w:r>
      <w:r w:rsidR="007D145F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 total in a patient for whom we can’t obtain an APAP concentration until &gt;8 hrs post-ingestion</w:t>
      </w:r>
    </w:p>
    <w:p w14:paraId="6A98D7B5" w14:textId="77777777" w:rsidR="00570B85" w:rsidRDefault="00570B85" w:rsidP="00570B85">
      <w:pPr>
        <w:ind w:left="720"/>
        <w:rPr>
          <w:sz w:val="24"/>
          <w:szCs w:val="24"/>
        </w:rPr>
      </w:pPr>
      <w:r>
        <w:rPr>
          <w:sz w:val="24"/>
          <w:szCs w:val="24"/>
        </w:rPr>
        <w:t>Patient with unknown time of ingestion and serum APAP &gt; 10mcg/mL</w:t>
      </w:r>
    </w:p>
    <w:p w14:paraId="049829BA" w14:textId="77777777" w:rsidR="00570B85" w:rsidRDefault="00570B85" w:rsidP="00570B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Patient with </w:t>
      </w:r>
      <w:proofErr w:type="spellStart"/>
      <w:r>
        <w:rPr>
          <w:sz w:val="24"/>
          <w:szCs w:val="24"/>
        </w:rPr>
        <w:t>hx</w:t>
      </w:r>
      <w:proofErr w:type="spellEnd"/>
      <w:r>
        <w:rPr>
          <w:sz w:val="24"/>
          <w:szCs w:val="24"/>
        </w:rPr>
        <w:t xml:space="preserve"> APAP ingestion and ANY evidence of liver injury</w:t>
      </w:r>
    </w:p>
    <w:p w14:paraId="5C85786B" w14:textId="77777777" w:rsidR="000154A7" w:rsidRDefault="00570B85" w:rsidP="00F5544D">
      <w:pPr>
        <w:ind w:left="720"/>
        <w:rPr>
          <w:sz w:val="24"/>
          <w:szCs w:val="24"/>
        </w:rPr>
      </w:pPr>
      <w:r>
        <w:rPr>
          <w:sz w:val="24"/>
          <w:szCs w:val="24"/>
        </w:rPr>
        <w:t>Patients who present &gt; 24 hrs post-ingestion with lab signs of liver injury</w:t>
      </w:r>
    </w:p>
    <w:p w14:paraId="07699563" w14:textId="77777777" w:rsidR="00284788" w:rsidRDefault="00284788" w:rsidP="00284788">
      <w:pPr>
        <w:rPr>
          <w:sz w:val="24"/>
          <w:szCs w:val="24"/>
        </w:rPr>
      </w:pPr>
      <w:r w:rsidRPr="004F219B">
        <w:rPr>
          <w:b/>
          <w:sz w:val="24"/>
          <w:szCs w:val="24"/>
        </w:rPr>
        <w:t>PEARL</w:t>
      </w:r>
      <w:r w:rsidRPr="004F219B">
        <w:rPr>
          <w:sz w:val="24"/>
          <w:szCs w:val="24"/>
        </w:rPr>
        <w:t xml:space="preserve"> –</w:t>
      </w:r>
      <w:r w:rsidR="00A479F7">
        <w:rPr>
          <w:sz w:val="24"/>
          <w:szCs w:val="24"/>
        </w:rPr>
        <w:t xml:space="preserve"> the </w:t>
      </w:r>
      <w:proofErr w:type="spellStart"/>
      <w:r w:rsidR="00A479F7">
        <w:rPr>
          <w:sz w:val="24"/>
          <w:szCs w:val="24"/>
        </w:rPr>
        <w:t>nomogram</w:t>
      </w:r>
      <w:proofErr w:type="spellEnd"/>
      <w:r w:rsidR="00A479F7">
        <w:rPr>
          <w:sz w:val="24"/>
          <w:szCs w:val="24"/>
        </w:rPr>
        <w:t xml:space="preserve"> is the most important way to determine the need for NAC therapy in an acute APAP OD</w:t>
      </w:r>
    </w:p>
    <w:p w14:paraId="7894BBBF" w14:textId="77777777" w:rsidR="00A479F7" w:rsidRPr="00A479F7" w:rsidRDefault="00A479F7" w:rsidP="00284788">
      <w:pPr>
        <w:rPr>
          <w:sz w:val="24"/>
          <w:szCs w:val="24"/>
        </w:rPr>
      </w:pPr>
      <w:r w:rsidRPr="00A479F7">
        <w:rPr>
          <w:b/>
          <w:sz w:val="24"/>
          <w:szCs w:val="24"/>
        </w:rPr>
        <w:t>72-hour PO protocol</w:t>
      </w:r>
      <w:r>
        <w:rPr>
          <w:sz w:val="24"/>
          <w:szCs w:val="24"/>
        </w:rPr>
        <w:t xml:space="preserve"> – </w:t>
      </w:r>
      <w:r w:rsidR="00A44979">
        <w:rPr>
          <w:sz w:val="24"/>
          <w:szCs w:val="24"/>
        </w:rPr>
        <w:t>loading dose 140 mg/kg PO, then 70 mg/kg PO every 4 hrs for 17 total doses</w:t>
      </w:r>
    </w:p>
    <w:p w14:paraId="7CF384D8" w14:textId="77777777" w:rsidR="00A479F7" w:rsidRDefault="00A479F7" w:rsidP="00284788">
      <w:pPr>
        <w:rPr>
          <w:sz w:val="24"/>
          <w:szCs w:val="24"/>
        </w:rPr>
      </w:pPr>
      <w:r w:rsidRPr="00A479F7">
        <w:rPr>
          <w:b/>
          <w:sz w:val="24"/>
          <w:szCs w:val="24"/>
        </w:rPr>
        <w:t>21-hour IV protocol</w:t>
      </w:r>
      <w:r w:rsidR="00A44979">
        <w:rPr>
          <w:sz w:val="24"/>
          <w:szCs w:val="24"/>
        </w:rPr>
        <w:t xml:space="preserve"> – loading dose 150 mg/kg over 1 hr, then 4-hr infusion of 12.5mg/kg/hr, then 16-hr infusion at 6.25 mg/kg/hr</w:t>
      </w:r>
    </w:p>
    <w:p w14:paraId="253C596B" w14:textId="77777777" w:rsidR="00EF6242" w:rsidRPr="00EF6242" w:rsidRDefault="00EF6242" w:rsidP="00284788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NAC is safe and effective in pregnant women. Crosses the placenta and thus IV form preferred.</w:t>
      </w:r>
    </w:p>
    <w:p w14:paraId="173F1698" w14:textId="77777777" w:rsidR="00284788" w:rsidRDefault="00284788" w:rsidP="00284788">
      <w:pPr>
        <w:rPr>
          <w:sz w:val="24"/>
          <w:szCs w:val="24"/>
        </w:rPr>
      </w:pPr>
    </w:p>
    <w:p w14:paraId="6A528BF3" w14:textId="77777777" w:rsidR="00284788" w:rsidRDefault="00284788" w:rsidP="00284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Disposition</w:t>
      </w:r>
    </w:p>
    <w:p w14:paraId="7BCFD519" w14:textId="77777777" w:rsidR="003933B5" w:rsidRDefault="003933B5" w:rsidP="00284788">
      <w:pPr>
        <w:rPr>
          <w:sz w:val="24"/>
          <w:szCs w:val="24"/>
        </w:rPr>
      </w:pPr>
      <w:r>
        <w:rPr>
          <w:sz w:val="24"/>
          <w:szCs w:val="24"/>
        </w:rPr>
        <w:t>Patient treated with NAC</w:t>
      </w:r>
      <w:r w:rsidRPr="003933B5">
        <w:rPr>
          <w:sz w:val="24"/>
          <w:szCs w:val="24"/>
        </w:rPr>
        <w:sym w:font="Wingdings" w:char="F0E0"/>
      </w:r>
      <w:r>
        <w:rPr>
          <w:sz w:val="24"/>
          <w:szCs w:val="24"/>
        </w:rPr>
        <w:t>admitted</w:t>
      </w:r>
    </w:p>
    <w:p w14:paraId="6F2F0888" w14:textId="77777777" w:rsidR="003933B5" w:rsidRDefault="003933B5" w:rsidP="00284788">
      <w:pPr>
        <w:rPr>
          <w:sz w:val="24"/>
          <w:szCs w:val="24"/>
        </w:rPr>
      </w:pPr>
      <w:r>
        <w:rPr>
          <w:sz w:val="24"/>
          <w:szCs w:val="24"/>
        </w:rPr>
        <w:t>Patient asymptomatic/mild symptoms</w:t>
      </w:r>
      <w:r w:rsidRPr="003933B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admit to medicine or </w:t>
      </w: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 unit</w:t>
      </w:r>
    </w:p>
    <w:p w14:paraId="7A672B56" w14:textId="77777777" w:rsidR="003933B5" w:rsidRPr="003933B5" w:rsidRDefault="003933B5" w:rsidP="00284788">
      <w:pPr>
        <w:rPr>
          <w:sz w:val="24"/>
          <w:szCs w:val="24"/>
        </w:rPr>
      </w:pPr>
      <w:r>
        <w:rPr>
          <w:sz w:val="24"/>
          <w:szCs w:val="24"/>
        </w:rPr>
        <w:t xml:space="preserve">Patient had evidence severe </w:t>
      </w:r>
      <w:proofErr w:type="spellStart"/>
      <w:r>
        <w:rPr>
          <w:sz w:val="24"/>
          <w:szCs w:val="24"/>
        </w:rPr>
        <w:t>heaptotoxicity</w:t>
      </w:r>
      <w:proofErr w:type="spellEnd"/>
      <w:r>
        <w:rPr>
          <w:sz w:val="24"/>
          <w:szCs w:val="24"/>
        </w:rPr>
        <w:t>/hepatic failure</w:t>
      </w:r>
      <w:r w:rsidRPr="003933B5">
        <w:rPr>
          <w:sz w:val="24"/>
          <w:szCs w:val="24"/>
        </w:rPr>
        <w:sym w:font="Wingdings" w:char="F0E0"/>
      </w:r>
      <w:r>
        <w:rPr>
          <w:sz w:val="24"/>
          <w:szCs w:val="24"/>
        </w:rPr>
        <w:t>admit to medical ICU</w:t>
      </w:r>
    </w:p>
    <w:p w14:paraId="62F66BAA" w14:textId="77777777" w:rsidR="003933B5" w:rsidRDefault="003933B5" w:rsidP="00284788">
      <w:pPr>
        <w:rPr>
          <w:sz w:val="24"/>
          <w:szCs w:val="24"/>
        </w:rPr>
      </w:pPr>
    </w:p>
    <w:p w14:paraId="228D487A" w14:textId="77777777" w:rsidR="00284788" w:rsidRPr="002B303E" w:rsidRDefault="003933B5" w:rsidP="003933B5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 – consult a medical toxicologist/regional poison control center as needed and obtain a psychiatric consult for intentional overdoses</w:t>
      </w:r>
      <w:r w:rsidR="00284788">
        <w:rPr>
          <w:sz w:val="24"/>
          <w:szCs w:val="24"/>
        </w:rPr>
        <w:t xml:space="preserve"> </w:t>
      </w:r>
    </w:p>
    <w:p w14:paraId="2122437E" w14:textId="77777777" w:rsidR="00284788" w:rsidRDefault="00284788" w:rsidP="00284788">
      <w:pPr>
        <w:rPr>
          <w:sz w:val="24"/>
          <w:szCs w:val="24"/>
        </w:rPr>
      </w:pPr>
    </w:p>
    <w:p w14:paraId="3A840414" w14:textId="77777777" w:rsidR="00284788" w:rsidRPr="00337EF7" w:rsidRDefault="00284788" w:rsidP="00284788">
      <w:pPr>
        <w:rPr>
          <w:sz w:val="24"/>
          <w:szCs w:val="24"/>
        </w:rPr>
      </w:pPr>
      <w:r>
        <w:rPr>
          <w:sz w:val="24"/>
          <w:szCs w:val="24"/>
        </w:rPr>
        <w:t xml:space="preserve">(Contact: </w:t>
      </w:r>
      <w:hyperlink r:id="rId5" w:history="1">
        <w:r w:rsidRPr="00380D72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)</w:t>
      </w:r>
    </w:p>
    <w:p w14:paraId="759D3BCB" w14:textId="77777777" w:rsidR="00A005D7" w:rsidRDefault="00A005D7">
      <w:r>
        <w:t>Figure 1</w:t>
      </w:r>
    </w:p>
    <w:p w14:paraId="2C0BD45B" w14:textId="77777777" w:rsidR="00065283" w:rsidRDefault="006E4EED">
      <w:r>
        <w:rPr>
          <w:noProof/>
        </w:rPr>
        <w:lastRenderedPageBreak/>
        <w:drawing>
          <wp:inline distT="0" distB="0" distL="0" distR="0" wp14:anchorId="5DE45628" wp14:editId="1BCA3265">
            <wp:extent cx="4526280" cy="4043477"/>
            <wp:effectExtent l="19050" t="0" r="7620" b="0"/>
            <wp:docPr id="1" name="Picture 1" descr="C:\Users\Andrea\Desktop\APAP OD Nom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APAP OD Nomogr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04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E7967" w14:textId="77777777" w:rsidR="006E4EED" w:rsidRDefault="00A005D7">
      <w:r w:rsidRPr="00A005D7">
        <w:t>http://www.mdcalc.com/acetaminophen-overdose-and-iv-nac-dosing/</w:t>
      </w:r>
    </w:p>
    <w:sectPr w:rsidR="006E4EE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88"/>
    <w:rsid w:val="000154A7"/>
    <w:rsid w:val="000550C2"/>
    <w:rsid w:val="00065283"/>
    <w:rsid w:val="000A20EB"/>
    <w:rsid w:val="000B15F4"/>
    <w:rsid w:val="00183433"/>
    <w:rsid w:val="001E56B4"/>
    <w:rsid w:val="002320F0"/>
    <w:rsid w:val="00284788"/>
    <w:rsid w:val="00307829"/>
    <w:rsid w:val="00345D26"/>
    <w:rsid w:val="003933B5"/>
    <w:rsid w:val="003E7566"/>
    <w:rsid w:val="003E7F46"/>
    <w:rsid w:val="004041F4"/>
    <w:rsid w:val="004105EF"/>
    <w:rsid w:val="004500AB"/>
    <w:rsid w:val="004F1FA3"/>
    <w:rsid w:val="00570B85"/>
    <w:rsid w:val="0060012C"/>
    <w:rsid w:val="006E4EED"/>
    <w:rsid w:val="00703983"/>
    <w:rsid w:val="0071155F"/>
    <w:rsid w:val="007349F5"/>
    <w:rsid w:val="00783871"/>
    <w:rsid w:val="007D145F"/>
    <w:rsid w:val="007F024D"/>
    <w:rsid w:val="00826A8C"/>
    <w:rsid w:val="00834C86"/>
    <w:rsid w:val="00897E47"/>
    <w:rsid w:val="008D1921"/>
    <w:rsid w:val="00917B0F"/>
    <w:rsid w:val="00922159"/>
    <w:rsid w:val="009461A9"/>
    <w:rsid w:val="009A66BF"/>
    <w:rsid w:val="00A005D7"/>
    <w:rsid w:val="00A06478"/>
    <w:rsid w:val="00A23610"/>
    <w:rsid w:val="00A2592D"/>
    <w:rsid w:val="00A44979"/>
    <w:rsid w:val="00A479F7"/>
    <w:rsid w:val="00AC00A7"/>
    <w:rsid w:val="00B078E1"/>
    <w:rsid w:val="00B45D77"/>
    <w:rsid w:val="00B661F8"/>
    <w:rsid w:val="00C72B42"/>
    <w:rsid w:val="00D15A72"/>
    <w:rsid w:val="00D57798"/>
    <w:rsid w:val="00EA1486"/>
    <w:rsid w:val="00EC031E"/>
    <w:rsid w:val="00EF49BA"/>
    <w:rsid w:val="00EF6242"/>
    <w:rsid w:val="00F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3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ve@embasic.or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2</cp:revision>
  <dcterms:created xsi:type="dcterms:W3CDTF">2014-06-24T01:42:00Z</dcterms:created>
  <dcterms:modified xsi:type="dcterms:W3CDTF">2014-06-24T01:42:00Z</dcterms:modified>
</cp:coreProperties>
</file>