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F1DC"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b/>
          <w:bCs/>
          <w:sz w:val="28"/>
          <w:szCs w:val="28"/>
        </w:rPr>
      </w:pPr>
      <w:proofErr w:type="spellStart"/>
      <w:r>
        <w:rPr>
          <w:rFonts w:ascii="Cambria" w:hAnsi="Cambria" w:cs="Cambria"/>
          <w:b/>
          <w:bCs/>
          <w:sz w:val="28"/>
          <w:szCs w:val="28"/>
        </w:rPr>
        <w:t>Monoarticular</w:t>
      </w:r>
      <w:proofErr w:type="spellEnd"/>
      <w:r>
        <w:rPr>
          <w:rFonts w:ascii="Cambria" w:hAnsi="Cambria" w:cs="Cambria"/>
          <w:b/>
          <w:bCs/>
          <w:sz w:val="28"/>
          <w:szCs w:val="28"/>
        </w:rPr>
        <w:t xml:space="preserve"> Arthritis</w:t>
      </w:r>
    </w:p>
    <w:p w14:paraId="3DCE7B85" w14:textId="35657462" w:rsidR="00925F51" w:rsidRPr="00925F51" w:rsidRDefault="00925F51"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bCs/>
        </w:rPr>
      </w:pPr>
      <w:r w:rsidRPr="00925F51">
        <w:rPr>
          <w:rFonts w:ascii="Cambria" w:hAnsi="Cambria" w:cs="Cambria"/>
          <w:bCs/>
        </w:rPr>
        <w:t>Dr. Brian Cohn</w:t>
      </w:r>
    </w:p>
    <w:p w14:paraId="7B618C64"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b/>
          <w:bCs/>
          <w:sz w:val="20"/>
          <w:szCs w:val="20"/>
        </w:rPr>
      </w:pPr>
    </w:p>
    <w:p w14:paraId="6853C1C0"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b/>
          <w:bCs/>
          <w:sz w:val="20"/>
          <w:szCs w:val="20"/>
        </w:rPr>
      </w:pPr>
      <w:r>
        <w:rPr>
          <w:rFonts w:ascii="Cambria" w:hAnsi="Cambria" w:cs="Cambria"/>
          <w:b/>
          <w:bCs/>
          <w:sz w:val="20"/>
          <w:szCs w:val="20"/>
        </w:rPr>
        <w:t>Anatomy</w:t>
      </w:r>
    </w:p>
    <w:p w14:paraId="703CD277" w14:textId="77777777" w:rsidR="004C2D72" w:rsidRDefault="004C2D72" w:rsidP="004C2D72">
      <w:pPr>
        <w:widowControl w:val="0"/>
        <w:numPr>
          <w:ilvl w:val="0"/>
          <w:numId w:val="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rPr>
          <w:rFonts w:ascii="Cambria" w:hAnsi="Cambria" w:cs="Cambria"/>
          <w:sz w:val="20"/>
          <w:szCs w:val="20"/>
        </w:rPr>
      </w:pPr>
      <w:r>
        <w:rPr>
          <w:rFonts w:ascii="Cambria" w:hAnsi="Cambria" w:cs="Cambria"/>
          <w:sz w:val="20"/>
          <w:szCs w:val="20"/>
        </w:rPr>
        <w:t xml:space="preserve">3 types of joints: </w:t>
      </w:r>
      <w:proofErr w:type="spellStart"/>
      <w:r>
        <w:rPr>
          <w:rFonts w:ascii="Cambria" w:hAnsi="Cambria" w:cs="Cambria"/>
          <w:sz w:val="20"/>
          <w:szCs w:val="20"/>
        </w:rPr>
        <w:t>synarthosis</w:t>
      </w:r>
      <w:proofErr w:type="spellEnd"/>
      <w:r>
        <w:rPr>
          <w:rFonts w:ascii="Cambria" w:hAnsi="Cambria" w:cs="Cambria"/>
          <w:sz w:val="20"/>
          <w:szCs w:val="20"/>
        </w:rPr>
        <w:t xml:space="preserve"> (skull suture lines), </w:t>
      </w:r>
      <w:proofErr w:type="spellStart"/>
      <w:r>
        <w:rPr>
          <w:rFonts w:ascii="Cambria" w:hAnsi="Cambria" w:cs="Cambria"/>
          <w:sz w:val="20"/>
          <w:szCs w:val="20"/>
        </w:rPr>
        <w:t>amphiarthrosis</w:t>
      </w:r>
      <w:proofErr w:type="spellEnd"/>
      <w:r>
        <w:rPr>
          <w:rFonts w:ascii="Cambria" w:hAnsi="Cambria" w:cs="Cambria"/>
          <w:sz w:val="20"/>
          <w:szCs w:val="20"/>
        </w:rPr>
        <w:t xml:space="preserve"> (e.g. pubic </w:t>
      </w:r>
      <w:proofErr w:type="spellStart"/>
      <w:r>
        <w:rPr>
          <w:rFonts w:ascii="Cambria" w:hAnsi="Cambria" w:cs="Cambria"/>
          <w:sz w:val="20"/>
          <w:szCs w:val="20"/>
        </w:rPr>
        <w:t>symphysis</w:t>
      </w:r>
      <w:proofErr w:type="spellEnd"/>
      <w:r>
        <w:rPr>
          <w:rFonts w:ascii="Cambria" w:hAnsi="Cambria" w:cs="Cambria"/>
          <w:sz w:val="20"/>
          <w:szCs w:val="20"/>
        </w:rPr>
        <w:t xml:space="preserve">), and </w:t>
      </w:r>
      <w:proofErr w:type="spellStart"/>
      <w:r>
        <w:rPr>
          <w:rFonts w:ascii="Cambria" w:hAnsi="Cambria" w:cs="Cambria"/>
          <w:sz w:val="20"/>
          <w:szCs w:val="20"/>
        </w:rPr>
        <w:t>diarthrosis</w:t>
      </w:r>
      <w:proofErr w:type="spellEnd"/>
      <w:r>
        <w:rPr>
          <w:rFonts w:ascii="Cambria" w:hAnsi="Cambria" w:cs="Cambria"/>
          <w:sz w:val="20"/>
          <w:szCs w:val="20"/>
        </w:rPr>
        <w:t xml:space="preserve"> (e.g. shoulder, knee, etc.)</w:t>
      </w:r>
    </w:p>
    <w:p w14:paraId="686318C3"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rPr>
      </w:pPr>
    </w:p>
    <w:p w14:paraId="3CB9E2A8"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u w:val="single"/>
        </w:rPr>
      </w:pPr>
      <w:r>
        <w:rPr>
          <w:rFonts w:ascii="Cambria" w:hAnsi="Cambria" w:cs="Cambria"/>
          <w:sz w:val="20"/>
          <w:szCs w:val="20"/>
          <w:u w:val="single"/>
        </w:rPr>
        <w:t>Degenerative Arthritis (Osteoarthritis)</w:t>
      </w:r>
    </w:p>
    <w:p w14:paraId="42391D80" w14:textId="77777777" w:rsidR="004C2D72" w:rsidRPr="004C2D72" w:rsidRDefault="004C2D72" w:rsidP="00E07D7C">
      <w:pPr>
        <w:pStyle w:val="ListParagraph"/>
        <w:widowControl w:val="0"/>
        <w:numPr>
          <w:ilvl w:val="0"/>
          <w:numId w:val="13"/>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u w:val="single"/>
        </w:rPr>
      </w:pPr>
      <w:r w:rsidRPr="004C2D72">
        <w:rPr>
          <w:rFonts w:ascii="Cambria" w:hAnsi="Cambria" w:cs="Cambria"/>
          <w:sz w:val="20"/>
          <w:szCs w:val="20"/>
        </w:rPr>
        <w:t>Most common form of arthritis in adults.  Risk factors include obesity and prior injury.  Trauma, activity, and weather change can exacerbate symptoms.</w:t>
      </w:r>
    </w:p>
    <w:p w14:paraId="242D8281" w14:textId="77777777" w:rsidR="004C2D72" w:rsidRPr="004C2D72" w:rsidRDefault="004C2D72" w:rsidP="00E07D7C">
      <w:pPr>
        <w:pStyle w:val="ListParagraph"/>
        <w:widowControl w:val="0"/>
        <w:numPr>
          <w:ilvl w:val="0"/>
          <w:numId w:val="13"/>
        </w:numPr>
        <w:tabs>
          <w:tab w:val="left" w:pos="20"/>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 xml:space="preserve">Osteophytes: Bouchard’s nodes at PIP joints, </w:t>
      </w:r>
      <w:proofErr w:type="spellStart"/>
      <w:r w:rsidRPr="004C2D72">
        <w:rPr>
          <w:rFonts w:ascii="Cambria" w:hAnsi="Cambria" w:cs="Cambria"/>
          <w:sz w:val="20"/>
          <w:szCs w:val="20"/>
        </w:rPr>
        <w:t>Heberden’s</w:t>
      </w:r>
      <w:proofErr w:type="spellEnd"/>
      <w:r w:rsidRPr="004C2D72">
        <w:rPr>
          <w:rFonts w:ascii="Cambria" w:hAnsi="Cambria" w:cs="Cambria"/>
          <w:sz w:val="20"/>
          <w:szCs w:val="20"/>
        </w:rPr>
        <w:t xml:space="preserve"> nodes at DIP joints.</w:t>
      </w:r>
    </w:p>
    <w:p w14:paraId="00F461E3" w14:textId="77777777" w:rsidR="004C2D72" w:rsidRPr="004C2D72" w:rsidRDefault="004C2D72" w:rsidP="00E07D7C">
      <w:pPr>
        <w:pStyle w:val="ListParagraph"/>
        <w:widowControl w:val="0"/>
        <w:numPr>
          <w:ilvl w:val="0"/>
          <w:numId w:val="13"/>
        </w:numPr>
        <w:tabs>
          <w:tab w:val="left" w:pos="20"/>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Treatment: NSAIDs, rest, ice for acute exacerbation; acetaminophen, strengthening, weight loss for chronic symptoms.</w:t>
      </w:r>
    </w:p>
    <w:p w14:paraId="3A5BFED5"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rPr>
      </w:pPr>
    </w:p>
    <w:p w14:paraId="5CFB7020" w14:textId="67EA32D8"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rPr>
      </w:pPr>
      <w:r>
        <w:rPr>
          <w:rFonts w:ascii="Cambria" w:hAnsi="Cambria" w:cs="Cambria"/>
          <w:b/>
          <w:bCs/>
          <w:sz w:val="20"/>
          <w:szCs w:val="20"/>
        </w:rPr>
        <w:t xml:space="preserve">Crystalline </w:t>
      </w:r>
      <w:proofErr w:type="spellStart"/>
      <w:r>
        <w:rPr>
          <w:rFonts w:ascii="Cambria" w:hAnsi="Cambria" w:cs="Cambria"/>
          <w:b/>
          <w:bCs/>
          <w:sz w:val="20"/>
          <w:szCs w:val="20"/>
        </w:rPr>
        <w:t>arthropathy</w:t>
      </w:r>
      <w:proofErr w:type="spellEnd"/>
    </w:p>
    <w:p w14:paraId="35097370"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u w:val="single"/>
        </w:rPr>
      </w:pPr>
      <w:r>
        <w:rPr>
          <w:rFonts w:ascii="Cambria" w:hAnsi="Cambria" w:cs="Cambria"/>
          <w:sz w:val="20"/>
          <w:szCs w:val="20"/>
          <w:u w:val="single"/>
        </w:rPr>
        <w:t>Gout</w:t>
      </w:r>
    </w:p>
    <w:p w14:paraId="469E542C" w14:textId="77777777" w:rsidR="004C2D72" w:rsidRPr="004C2D72" w:rsidRDefault="004C2D72" w:rsidP="00E07D7C">
      <w:pPr>
        <w:pStyle w:val="ListParagraph"/>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 xml:space="preserve">Caused by monosodium </w:t>
      </w:r>
      <w:proofErr w:type="spellStart"/>
      <w:r w:rsidRPr="004C2D72">
        <w:rPr>
          <w:rFonts w:ascii="Cambria" w:hAnsi="Cambria" w:cs="Cambria"/>
          <w:sz w:val="20"/>
          <w:szCs w:val="20"/>
        </w:rPr>
        <w:t>urate</w:t>
      </w:r>
      <w:proofErr w:type="spellEnd"/>
      <w:r w:rsidRPr="004C2D72">
        <w:rPr>
          <w:rFonts w:ascii="Cambria" w:hAnsi="Cambria" w:cs="Cambria"/>
          <w:sz w:val="20"/>
          <w:szCs w:val="20"/>
        </w:rPr>
        <w:t xml:space="preserve"> crystal formation.  Risk factors include thiazides and alcohol.</w:t>
      </w:r>
    </w:p>
    <w:p w14:paraId="430FF693" w14:textId="77777777" w:rsidR="004C2D72" w:rsidRPr="004C2D72" w:rsidRDefault="004C2D72" w:rsidP="00E07D7C">
      <w:pPr>
        <w:pStyle w:val="ListParagraph"/>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The MTP joint is the most common site (</w:t>
      </w:r>
      <w:proofErr w:type="spellStart"/>
      <w:r w:rsidRPr="004C2D72">
        <w:rPr>
          <w:rFonts w:ascii="Cambria" w:hAnsi="Cambria" w:cs="Cambria"/>
          <w:sz w:val="20"/>
          <w:szCs w:val="20"/>
        </w:rPr>
        <w:t>Podagra</w:t>
      </w:r>
      <w:proofErr w:type="spellEnd"/>
      <w:r w:rsidRPr="004C2D72">
        <w:rPr>
          <w:rFonts w:ascii="Cambria" w:hAnsi="Cambria" w:cs="Cambria"/>
          <w:sz w:val="20"/>
          <w:szCs w:val="20"/>
        </w:rPr>
        <w:t>) followed by the knee, ankle, and tarsal joints.</w:t>
      </w:r>
    </w:p>
    <w:p w14:paraId="56733008" w14:textId="77777777" w:rsidR="004C2D72" w:rsidRPr="004C2D72" w:rsidRDefault="004C2D72" w:rsidP="00E07D7C">
      <w:pPr>
        <w:pStyle w:val="ListParagraph"/>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Presents with warmth, erythema, swelling, and pain with movement of the affected joint.</w:t>
      </w:r>
    </w:p>
    <w:p w14:paraId="1C067973" w14:textId="77777777" w:rsidR="004C2D72" w:rsidRPr="004C2D72" w:rsidRDefault="004C2D72" w:rsidP="00E07D7C">
      <w:pPr>
        <w:pStyle w:val="ListParagraph"/>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 xml:space="preserve">Serum uric acid levels are not helpful in ruling in or out disease.  Diagnosis confirmed by the presence of needle-shaped, negatively </w:t>
      </w:r>
      <w:proofErr w:type="spellStart"/>
      <w:r w:rsidRPr="004C2D72">
        <w:rPr>
          <w:rFonts w:ascii="Cambria" w:hAnsi="Cambria" w:cs="Cambria"/>
          <w:sz w:val="20"/>
          <w:szCs w:val="20"/>
        </w:rPr>
        <w:t>birefringent</w:t>
      </w:r>
      <w:proofErr w:type="spellEnd"/>
      <w:r w:rsidRPr="004C2D72">
        <w:rPr>
          <w:rFonts w:ascii="Cambria" w:hAnsi="Cambria" w:cs="Cambria"/>
          <w:sz w:val="20"/>
          <w:szCs w:val="20"/>
        </w:rPr>
        <w:t xml:space="preserve"> crystals on synovial fluid microscopy.</w:t>
      </w:r>
    </w:p>
    <w:p w14:paraId="3F6E02C0" w14:textId="77777777" w:rsidR="004C2D72" w:rsidRPr="004C2D72" w:rsidRDefault="004C2D72" w:rsidP="00E07D7C">
      <w:pPr>
        <w:pStyle w:val="ListParagraph"/>
        <w:widowControl w:val="0"/>
        <w:numPr>
          <w:ilvl w:val="0"/>
          <w:numId w:val="14"/>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Treatment: 1st line = colchicine or NSAIDs</w:t>
      </w:r>
      <w:proofErr w:type="gramStart"/>
      <w:r w:rsidRPr="004C2D72">
        <w:rPr>
          <w:rFonts w:ascii="Cambria" w:hAnsi="Cambria" w:cs="Cambria"/>
          <w:sz w:val="20"/>
          <w:szCs w:val="20"/>
        </w:rPr>
        <w:t>;</w:t>
      </w:r>
      <w:proofErr w:type="gramEnd"/>
      <w:r w:rsidRPr="004C2D72">
        <w:rPr>
          <w:rFonts w:ascii="Cambria" w:hAnsi="Cambria" w:cs="Cambria"/>
          <w:sz w:val="20"/>
          <w:szCs w:val="20"/>
        </w:rPr>
        <w:t xml:space="preserve"> 2nd line = </w:t>
      </w:r>
      <w:proofErr w:type="spellStart"/>
      <w:r w:rsidRPr="004C2D72">
        <w:rPr>
          <w:rFonts w:ascii="Cambria" w:hAnsi="Cambria" w:cs="Cambria"/>
          <w:sz w:val="20"/>
          <w:szCs w:val="20"/>
        </w:rPr>
        <w:t>gluocorticoids</w:t>
      </w:r>
      <w:proofErr w:type="spellEnd"/>
      <w:r w:rsidRPr="004C2D72">
        <w:rPr>
          <w:rFonts w:ascii="Cambria" w:hAnsi="Cambria" w:cs="Cambria"/>
          <w:sz w:val="20"/>
          <w:szCs w:val="20"/>
        </w:rPr>
        <w:t>.</w:t>
      </w:r>
    </w:p>
    <w:p w14:paraId="7A6C4EA5"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rPr>
      </w:pPr>
    </w:p>
    <w:p w14:paraId="28121A69"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u w:val="single"/>
        </w:rPr>
      </w:pPr>
      <w:proofErr w:type="spellStart"/>
      <w:r>
        <w:rPr>
          <w:rFonts w:ascii="Cambria" w:hAnsi="Cambria" w:cs="Cambria"/>
          <w:sz w:val="20"/>
          <w:szCs w:val="20"/>
          <w:u w:val="single"/>
        </w:rPr>
        <w:t>Pseudogout</w:t>
      </w:r>
      <w:proofErr w:type="spellEnd"/>
      <w:r>
        <w:rPr>
          <w:rFonts w:ascii="Cambria" w:hAnsi="Cambria" w:cs="Cambria"/>
          <w:sz w:val="20"/>
          <w:szCs w:val="20"/>
          <w:u w:val="single"/>
        </w:rPr>
        <w:t xml:space="preserve"> </w:t>
      </w:r>
    </w:p>
    <w:p w14:paraId="598BFB65" w14:textId="77777777" w:rsidR="004C2D72" w:rsidRPr="004C2D72" w:rsidRDefault="004C2D72" w:rsidP="00E07D7C">
      <w:pPr>
        <w:pStyle w:val="ListParagraph"/>
        <w:widowControl w:val="0"/>
        <w:numPr>
          <w:ilvl w:val="0"/>
          <w:numId w:val="15"/>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sz w:val="20"/>
          <w:szCs w:val="20"/>
        </w:rPr>
      </w:pPr>
      <w:r w:rsidRPr="004C2D72">
        <w:rPr>
          <w:rFonts w:ascii="Cambria" w:hAnsi="Cambria" w:cs="Cambria"/>
          <w:sz w:val="20"/>
          <w:szCs w:val="20"/>
        </w:rPr>
        <w:t xml:space="preserve">Caused by deposition of calcium pyrophosphate.  Often manifested by </w:t>
      </w:r>
      <w:proofErr w:type="spellStart"/>
      <w:r w:rsidRPr="004C2D72">
        <w:rPr>
          <w:rFonts w:ascii="Cambria" w:hAnsi="Cambria" w:cs="Cambria"/>
          <w:sz w:val="20"/>
          <w:szCs w:val="20"/>
        </w:rPr>
        <w:t>chondrocalcinosis</w:t>
      </w:r>
      <w:proofErr w:type="spellEnd"/>
      <w:r w:rsidRPr="004C2D72">
        <w:rPr>
          <w:rFonts w:ascii="Cambria" w:hAnsi="Cambria" w:cs="Cambria"/>
          <w:sz w:val="20"/>
          <w:szCs w:val="20"/>
        </w:rPr>
        <w:t xml:space="preserve"> on x-rays: calcification of the </w:t>
      </w:r>
      <w:proofErr w:type="spellStart"/>
      <w:r w:rsidRPr="004C2D72">
        <w:rPr>
          <w:rFonts w:ascii="Cambria" w:hAnsi="Cambria" w:cs="Cambria"/>
          <w:sz w:val="20"/>
          <w:szCs w:val="20"/>
        </w:rPr>
        <w:t>synovium</w:t>
      </w:r>
      <w:proofErr w:type="spellEnd"/>
      <w:r w:rsidRPr="004C2D72">
        <w:rPr>
          <w:rFonts w:ascii="Cambria" w:hAnsi="Cambria" w:cs="Cambria"/>
          <w:sz w:val="20"/>
          <w:szCs w:val="20"/>
        </w:rPr>
        <w:t xml:space="preserve"> and surrounding ligaments.</w:t>
      </w:r>
    </w:p>
    <w:p w14:paraId="6A3835F1" w14:textId="77777777" w:rsidR="004C2D72" w:rsidRPr="004C2D72" w:rsidRDefault="004C2D72" w:rsidP="00E07D7C">
      <w:pPr>
        <w:pStyle w:val="ListParagraph"/>
        <w:widowControl w:val="0"/>
        <w:numPr>
          <w:ilvl w:val="0"/>
          <w:numId w:val="15"/>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sz w:val="20"/>
          <w:szCs w:val="20"/>
        </w:rPr>
      </w:pPr>
      <w:r w:rsidRPr="004C2D72">
        <w:rPr>
          <w:rFonts w:ascii="Cambria" w:hAnsi="Cambria" w:cs="Cambria"/>
          <w:sz w:val="20"/>
          <w:szCs w:val="20"/>
        </w:rPr>
        <w:t xml:space="preserve">Presentation is similar to gout.  Diagnosis is made by the identification of rhomboidal, weakly positive </w:t>
      </w:r>
      <w:proofErr w:type="spellStart"/>
      <w:r w:rsidRPr="004C2D72">
        <w:rPr>
          <w:rFonts w:ascii="Cambria" w:hAnsi="Cambria" w:cs="Cambria"/>
          <w:sz w:val="20"/>
          <w:szCs w:val="20"/>
        </w:rPr>
        <w:t>birefringent</w:t>
      </w:r>
      <w:proofErr w:type="spellEnd"/>
      <w:r w:rsidRPr="004C2D72">
        <w:rPr>
          <w:rFonts w:ascii="Cambria" w:hAnsi="Cambria" w:cs="Cambria"/>
          <w:sz w:val="20"/>
          <w:szCs w:val="20"/>
        </w:rPr>
        <w:t xml:space="preserve"> crystals on </w:t>
      </w:r>
      <w:r w:rsidRPr="004C2D72">
        <w:rPr>
          <w:rFonts w:ascii="Cambria" w:hAnsi="Cambria" w:cs="Cambria"/>
          <w:sz w:val="20"/>
          <w:szCs w:val="20"/>
        </w:rPr>
        <w:lastRenderedPageBreak/>
        <w:t>synovial fluid microscopy.</w:t>
      </w:r>
    </w:p>
    <w:p w14:paraId="097A601B" w14:textId="77777777" w:rsidR="004C2D72" w:rsidRPr="004C2D72" w:rsidRDefault="004C2D72" w:rsidP="00E07D7C">
      <w:pPr>
        <w:pStyle w:val="ListParagraph"/>
        <w:widowControl w:val="0"/>
        <w:numPr>
          <w:ilvl w:val="0"/>
          <w:numId w:val="15"/>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sz w:val="20"/>
          <w:szCs w:val="20"/>
        </w:rPr>
      </w:pPr>
      <w:r w:rsidRPr="004C2D72">
        <w:rPr>
          <w:rFonts w:ascii="Cambria" w:hAnsi="Cambria" w:cs="Cambria"/>
          <w:sz w:val="20"/>
          <w:szCs w:val="20"/>
        </w:rPr>
        <w:t>Treatment is primarily with NSAIDs or glucocorticoids (colchicine may not be effective).</w:t>
      </w:r>
    </w:p>
    <w:p w14:paraId="36C5A175"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rPr>
      </w:pPr>
    </w:p>
    <w:p w14:paraId="56CFE171"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rPr>
      </w:pPr>
      <w:r>
        <w:rPr>
          <w:rFonts w:ascii="Cambria" w:hAnsi="Cambria" w:cs="Cambria"/>
          <w:b/>
          <w:bCs/>
          <w:sz w:val="20"/>
          <w:szCs w:val="20"/>
        </w:rPr>
        <w:t>Septic Arthritis:</w:t>
      </w:r>
      <w:r>
        <w:rPr>
          <w:rFonts w:ascii="Cambria" w:hAnsi="Cambria" w:cs="Cambria"/>
          <w:sz w:val="20"/>
          <w:szCs w:val="20"/>
        </w:rPr>
        <w:t xml:space="preserve">  3 routes of infection: 1) </w:t>
      </w:r>
      <w:proofErr w:type="spellStart"/>
      <w:r>
        <w:rPr>
          <w:rFonts w:ascii="Cambria" w:hAnsi="Cambria" w:cs="Cambria"/>
          <w:sz w:val="20"/>
          <w:szCs w:val="20"/>
        </w:rPr>
        <w:t>hematogenous</w:t>
      </w:r>
      <w:proofErr w:type="spellEnd"/>
      <w:r>
        <w:rPr>
          <w:rFonts w:ascii="Cambria" w:hAnsi="Cambria" w:cs="Cambria"/>
          <w:sz w:val="20"/>
          <w:szCs w:val="20"/>
        </w:rPr>
        <w:t xml:space="preserve"> spread, 2) direct inoculation, and 3) contiguous spread.</w:t>
      </w:r>
    </w:p>
    <w:p w14:paraId="00088106"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rPr>
      </w:pPr>
    </w:p>
    <w:p w14:paraId="614A75E8"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rPr>
      </w:pPr>
      <w:r>
        <w:rPr>
          <w:rFonts w:ascii="Cambria" w:hAnsi="Cambria" w:cs="Cambria"/>
          <w:sz w:val="20"/>
          <w:szCs w:val="20"/>
          <w:u w:val="single"/>
        </w:rPr>
        <w:t>Pediatric Septic Arthritis</w:t>
      </w:r>
      <w:r>
        <w:rPr>
          <w:rFonts w:ascii="Cambria" w:hAnsi="Cambria" w:cs="Cambria"/>
          <w:sz w:val="20"/>
          <w:szCs w:val="20"/>
        </w:rPr>
        <w:t xml:space="preserve"> </w:t>
      </w:r>
    </w:p>
    <w:p w14:paraId="009A1E00" w14:textId="77777777" w:rsidR="004C2D72" w:rsidRPr="004C2D72" w:rsidRDefault="004C2D72" w:rsidP="00E07D7C">
      <w:pPr>
        <w:pStyle w:val="ListParagraph"/>
        <w:widowControl w:val="0"/>
        <w:numPr>
          <w:ilvl w:val="0"/>
          <w:numId w:val="16"/>
        </w:numPr>
        <w:tabs>
          <w:tab w:val="left" w:pos="-90"/>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 xml:space="preserve">Primarily occurs by </w:t>
      </w:r>
      <w:proofErr w:type="spellStart"/>
      <w:r w:rsidRPr="004C2D72">
        <w:rPr>
          <w:rFonts w:ascii="Cambria" w:hAnsi="Cambria" w:cs="Cambria"/>
          <w:sz w:val="20"/>
          <w:szCs w:val="20"/>
        </w:rPr>
        <w:t>hematogenous</w:t>
      </w:r>
      <w:proofErr w:type="spellEnd"/>
      <w:r w:rsidRPr="004C2D72">
        <w:rPr>
          <w:rFonts w:ascii="Cambria" w:hAnsi="Cambria" w:cs="Cambria"/>
          <w:sz w:val="20"/>
          <w:szCs w:val="20"/>
        </w:rPr>
        <w:t xml:space="preserve"> spread, and 80-90% of cases involve the lower extremities (knees and hips most common).  Can lead to avascular necrosis, particularly when the hip is involved in children &lt; 1 year of age.</w:t>
      </w:r>
    </w:p>
    <w:p w14:paraId="337DA983" w14:textId="77777777" w:rsidR="004C2D72" w:rsidRPr="004C2D72" w:rsidRDefault="004C2D72" w:rsidP="00E07D7C">
      <w:pPr>
        <w:pStyle w:val="ListParagraph"/>
        <w:widowControl w:val="0"/>
        <w:numPr>
          <w:ilvl w:val="0"/>
          <w:numId w:val="16"/>
        </w:numPr>
        <w:tabs>
          <w:tab w:val="left" w:pos="-90"/>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Clinical presentation may be nonspecific or vague, particularly in the preverbal child (limp, decreased ROM, “</w:t>
      </w:r>
      <w:proofErr w:type="spellStart"/>
      <w:r w:rsidRPr="004C2D72">
        <w:rPr>
          <w:rFonts w:ascii="Cambria" w:hAnsi="Cambria" w:cs="Cambria"/>
          <w:sz w:val="20"/>
          <w:szCs w:val="20"/>
        </w:rPr>
        <w:t>pseudoparalysis</w:t>
      </w:r>
      <w:proofErr w:type="spellEnd"/>
      <w:r w:rsidRPr="004C2D72">
        <w:rPr>
          <w:rFonts w:ascii="Cambria" w:hAnsi="Cambria" w:cs="Cambria"/>
          <w:sz w:val="20"/>
          <w:szCs w:val="20"/>
        </w:rPr>
        <w:t>,” fever, sepsis, irritability).  Erythema, warmth, and swelling are frequently noted over the joint; fever is absent in up to 1/3 of cases.</w:t>
      </w:r>
    </w:p>
    <w:p w14:paraId="76DCD351" w14:textId="77777777" w:rsidR="004C2D72" w:rsidRPr="004C2D72" w:rsidRDefault="004C2D72" w:rsidP="00E07D7C">
      <w:pPr>
        <w:pStyle w:val="ListParagraph"/>
        <w:widowControl w:val="0"/>
        <w:numPr>
          <w:ilvl w:val="0"/>
          <w:numId w:val="16"/>
        </w:numPr>
        <w:tabs>
          <w:tab w:val="left" w:pos="-90"/>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The peripheral WBC is &lt; 15K in about 1/2 of pediatric cases.  ESR and CRP are not diagnostic.  X-rays should be obtained to r/o fracture or other bony abnormality.  Joint fluid should be sent for cell count/diff, gram stain, and culture; blood cultures should be sent as well.</w:t>
      </w:r>
    </w:p>
    <w:tbl>
      <w:tblPr>
        <w:tblpPr w:leftFromText="180" w:rightFromText="180" w:vertAnchor="text" w:horzAnchor="page" w:tblpX="8569" w:tblpY="182"/>
        <w:tblW w:w="5797" w:type="dxa"/>
        <w:tblBorders>
          <w:top w:val="nil"/>
          <w:left w:val="nil"/>
          <w:right w:val="nil"/>
        </w:tblBorders>
        <w:tblLayout w:type="fixed"/>
        <w:tblLook w:val="0000" w:firstRow="0" w:lastRow="0" w:firstColumn="0" w:lastColumn="0" w:noHBand="0" w:noVBand="0"/>
      </w:tblPr>
      <w:tblGrid>
        <w:gridCol w:w="1364"/>
        <w:gridCol w:w="2525"/>
        <w:gridCol w:w="1908"/>
      </w:tblGrid>
      <w:tr w:rsidR="00EA72BB" w14:paraId="0FCC1E4D" w14:textId="77777777" w:rsidTr="00EA72BB">
        <w:tc>
          <w:tcPr>
            <w:tcW w:w="136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709F7FE"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mbria" w:hAnsi="Cambria" w:cs="Cambria"/>
                <w:sz w:val="18"/>
                <w:szCs w:val="18"/>
              </w:rPr>
              <w:t>&lt; 2 months</w:t>
            </w:r>
          </w:p>
        </w:tc>
        <w:tc>
          <w:tcPr>
            <w:tcW w:w="252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47BA4AA"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mbria" w:hAnsi="Cambria" w:cs="Cambria"/>
                <w:i/>
                <w:iCs/>
                <w:sz w:val="20"/>
                <w:szCs w:val="20"/>
              </w:rPr>
              <w:t xml:space="preserve">S. </w:t>
            </w:r>
            <w:proofErr w:type="spellStart"/>
            <w:proofErr w:type="gramStart"/>
            <w:r>
              <w:rPr>
                <w:rFonts w:ascii="Cambria" w:hAnsi="Cambria" w:cs="Cambria"/>
                <w:i/>
                <w:iCs/>
                <w:sz w:val="20"/>
                <w:szCs w:val="20"/>
              </w:rPr>
              <w:t>aureus</w:t>
            </w:r>
            <w:proofErr w:type="spellEnd"/>
            <w:proofErr w:type="gramEnd"/>
            <w:r>
              <w:rPr>
                <w:rFonts w:ascii="Cambria" w:hAnsi="Cambria" w:cs="Cambria"/>
                <w:sz w:val="20"/>
                <w:szCs w:val="20"/>
              </w:rPr>
              <w:t>, Group B</w:t>
            </w:r>
            <w:r>
              <w:rPr>
                <w:rFonts w:ascii="Cambria" w:hAnsi="Cambria" w:cs="Cambria"/>
                <w:color w:val="0A0A08"/>
                <w:sz w:val="20"/>
                <w:szCs w:val="20"/>
              </w:rPr>
              <w:t xml:space="preserve"> strep, gram-negative coliforms</w:t>
            </w:r>
          </w:p>
        </w:tc>
        <w:tc>
          <w:tcPr>
            <w:tcW w:w="19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668DBFB"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roofErr w:type="spellStart"/>
            <w:proofErr w:type="gramStart"/>
            <w:r>
              <w:rPr>
                <w:rFonts w:ascii="Cambria" w:hAnsi="Cambria" w:cs="Cambria"/>
                <w:color w:val="0A0A08"/>
                <w:sz w:val="20"/>
                <w:szCs w:val="20"/>
              </w:rPr>
              <w:t>vanc</w:t>
            </w:r>
            <w:proofErr w:type="spellEnd"/>
            <w:proofErr w:type="gramEnd"/>
            <w:r>
              <w:rPr>
                <w:rFonts w:ascii="Cambria" w:hAnsi="Cambria" w:cs="Cambria"/>
                <w:color w:val="0A0A08"/>
                <w:sz w:val="20"/>
                <w:szCs w:val="20"/>
              </w:rPr>
              <w:t xml:space="preserve"> + </w:t>
            </w:r>
            <w:proofErr w:type="spellStart"/>
            <w:r>
              <w:rPr>
                <w:rFonts w:ascii="Cambria" w:hAnsi="Cambria" w:cs="Cambria"/>
                <w:color w:val="0A0A08"/>
                <w:sz w:val="20"/>
                <w:szCs w:val="20"/>
              </w:rPr>
              <w:t>cefotaxime</w:t>
            </w:r>
            <w:proofErr w:type="spellEnd"/>
          </w:p>
        </w:tc>
      </w:tr>
      <w:tr w:rsidR="00EA72BB" w14:paraId="53A23726" w14:textId="77777777" w:rsidTr="00EA72BB">
        <w:tblPrEx>
          <w:tblBorders>
            <w:top w:val="none" w:sz="0" w:space="0" w:color="auto"/>
          </w:tblBorders>
        </w:tblPrEx>
        <w:tc>
          <w:tcPr>
            <w:tcW w:w="136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4B33BF4"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mbria" w:hAnsi="Cambria" w:cs="Cambria"/>
                <w:sz w:val="18"/>
                <w:szCs w:val="18"/>
              </w:rPr>
              <w:t>2 month - 5 years</w:t>
            </w:r>
          </w:p>
        </w:tc>
        <w:tc>
          <w:tcPr>
            <w:tcW w:w="252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B0FBA2A"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mbria" w:hAnsi="Cambria" w:cs="Cambria"/>
                <w:i/>
                <w:iCs/>
                <w:color w:val="0A0A08"/>
                <w:sz w:val="20"/>
                <w:szCs w:val="20"/>
              </w:rPr>
              <w:t xml:space="preserve">S </w:t>
            </w:r>
            <w:proofErr w:type="spellStart"/>
            <w:r>
              <w:rPr>
                <w:rFonts w:ascii="Cambria" w:hAnsi="Cambria" w:cs="Cambria"/>
                <w:i/>
                <w:iCs/>
                <w:color w:val="0A0A08"/>
                <w:sz w:val="20"/>
                <w:szCs w:val="20"/>
              </w:rPr>
              <w:t>aureus</w:t>
            </w:r>
            <w:proofErr w:type="spellEnd"/>
            <w:r>
              <w:rPr>
                <w:rFonts w:ascii="Cambria" w:hAnsi="Cambria" w:cs="Cambria"/>
                <w:color w:val="0A0A08"/>
                <w:sz w:val="20"/>
                <w:szCs w:val="20"/>
              </w:rPr>
              <w:t xml:space="preserve">, Group A strep, </w:t>
            </w:r>
            <w:r>
              <w:rPr>
                <w:rFonts w:ascii="Cambria" w:hAnsi="Cambria" w:cs="Cambria"/>
                <w:i/>
                <w:iCs/>
                <w:color w:val="0A0A08"/>
                <w:sz w:val="20"/>
                <w:szCs w:val="20"/>
              </w:rPr>
              <w:t xml:space="preserve">S. </w:t>
            </w:r>
            <w:proofErr w:type="spellStart"/>
            <w:r>
              <w:rPr>
                <w:rFonts w:ascii="Cambria" w:hAnsi="Cambria" w:cs="Cambria"/>
                <w:i/>
                <w:iCs/>
                <w:color w:val="0A0A08"/>
                <w:sz w:val="20"/>
                <w:szCs w:val="20"/>
              </w:rPr>
              <w:t>pneumoniae</w:t>
            </w:r>
            <w:proofErr w:type="spellEnd"/>
            <w:r>
              <w:rPr>
                <w:rFonts w:ascii="Cambria" w:hAnsi="Cambria" w:cs="Cambria"/>
                <w:color w:val="0A0A08"/>
                <w:sz w:val="20"/>
                <w:szCs w:val="20"/>
              </w:rPr>
              <w:t xml:space="preserve"> </w:t>
            </w:r>
          </w:p>
        </w:tc>
        <w:tc>
          <w:tcPr>
            <w:tcW w:w="19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5658B69"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roofErr w:type="spellStart"/>
            <w:proofErr w:type="gramStart"/>
            <w:r>
              <w:rPr>
                <w:rFonts w:ascii="Cambria" w:hAnsi="Cambria" w:cs="Cambria"/>
                <w:color w:val="0A0A08"/>
                <w:sz w:val="20"/>
                <w:szCs w:val="20"/>
              </w:rPr>
              <w:t>clinda</w:t>
            </w:r>
            <w:proofErr w:type="spellEnd"/>
            <w:proofErr w:type="gramEnd"/>
            <w:r>
              <w:rPr>
                <w:rFonts w:ascii="Cambria" w:hAnsi="Cambria" w:cs="Cambria"/>
                <w:color w:val="0A0A08"/>
                <w:sz w:val="20"/>
                <w:szCs w:val="20"/>
              </w:rPr>
              <w:t xml:space="preserve"> or </w:t>
            </w:r>
            <w:proofErr w:type="spellStart"/>
            <w:r>
              <w:rPr>
                <w:rFonts w:ascii="Cambria" w:hAnsi="Cambria" w:cs="Cambria"/>
                <w:color w:val="0A0A08"/>
                <w:sz w:val="20"/>
                <w:szCs w:val="20"/>
              </w:rPr>
              <w:t>vanc</w:t>
            </w:r>
            <w:proofErr w:type="spellEnd"/>
          </w:p>
        </w:tc>
      </w:tr>
      <w:tr w:rsidR="00EA72BB" w14:paraId="2D64C4E6" w14:textId="77777777" w:rsidTr="00EA72BB">
        <w:tc>
          <w:tcPr>
            <w:tcW w:w="136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12A9E53"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mbria" w:hAnsi="Cambria" w:cs="Cambria"/>
                <w:sz w:val="18"/>
                <w:szCs w:val="18"/>
              </w:rPr>
              <w:t>5 years to adolescence</w:t>
            </w:r>
          </w:p>
        </w:tc>
        <w:tc>
          <w:tcPr>
            <w:tcW w:w="252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B0890BF"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mbria" w:hAnsi="Cambria" w:cs="Cambria"/>
                <w:i/>
                <w:iCs/>
                <w:color w:val="0A0A08"/>
                <w:sz w:val="20"/>
                <w:szCs w:val="20"/>
              </w:rPr>
              <w:t xml:space="preserve">S. </w:t>
            </w:r>
            <w:proofErr w:type="spellStart"/>
            <w:proofErr w:type="gramStart"/>
            <w:r>
              <w:rPr>
                <w:rFonts w:ascii="Cambria" w:hAnsi="Cambria" w:cs="Cambria"/>
                <w:i/>
                <w:iCs/>
                <w:color w:val="0A0A08"/>
                <w:sz w:val="20"/>
                <w:szCs w:val="20"/>
              </w:rPr>
              <w:t>aureus</w:t>
            </w:r>
            <w:proofErr w:type="spellEnd"/>
            <w:proofErr w:type="gramEnd"/>
            <w:r>
              <w:rPr>
                <w:rFonts w:ascii="Cambria" w:hAnsi="Cambria" w:cs="Cambria"/>
                <w:color w:val="0A0A08"/>
                <w:sz w:val="20"/>
                <w:szCs w:val="20"/>
              </w:rPr>
              <w:t xml:space="preserve">, group A strep, </w:t>
            </w:r>
            <w:r>
              <w:rPr>
                <w:rFonts w:ascii="Cambria" w:hAnsi="Cambria" w:cs="Cambria"/>
                <w:i/>
                <w:iCs/>
                <w:color w:val="0A0A08"/>
                <w:sz w:val="20"/>
                <w:szCs w:val="20"/>
              </w:rPr>
              <w:t>N. gonorrhea</w:t>
            </w:r>
            <w:r>
              <w:rPr>
                <w:rFonts w:ascii="Cambria" w:hAnsi="Cambria" w:cs="Cambria"/>
                <w:color w:val="0A0A08"/>
                <w:sz w:val="20"/>
                <w:szCs w:val="20"/>
              </w:rPr>
              <w:t xml:space="preserve"> </w:t>
            </w:r>
          </w:p>
        </w:tc>
        <w:tc>
          <w:tcPr>
            <w:tcW w:w="19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A5CAE1" w14:textId="77777777" w:rsidR="00EA72BB" w:rsidRDefault="00EA72BB" w:rsidP="00EA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roofErr w:type="spellStart"/>
            <w:proofErr w:type="gramStart"/>
            <w:r>
              <w:rPr>
                <w:rFonts w:ascii="Cambria" w:hAnsi="Cambria" w:cs="Cambria"/>
                <w:color w:val="0A0A08"/>
                <w:sz w:val="20"/>
                <w:szCs w:val="20"/>
              </w:rPr>
              <w:t>clinda</w:t>
            </w:r>
            <w:proofErr w:type="spellEnd"/>
            <w:proofErr w:type="gramEnd"/>
            <w:r>
              <w:rPr>
                <w:rFonts w:ascii="Cambria" w:hAnsi="Cambria" w:cs="Cambria"/>
                <w:color w:val="0A0A08"/>
                <w:sz w:val="20"/>
                <w:szCs w:val="20"/>
              </w:rPr>
              <w:t xml:space="preserve"> or </w:t>
            </w:r>
            <w:proofErr w:type="spellStart"/>
            <w:r>
              <w:rPr>
                <w:rFonts w:ascii="Cambria" w:hAnsi="Cambria" w:cs="Cambria"/>
                <w:color w:val="0A0A08"/>
                <w:sz w:val="20"/>
                <w:szCs w:val="20"/>
              </w:rPr>
              <w:t>vanc</w:t>
            </w:r>
            <w:proofErr w:type="spellEnd"/>
            <w:r>
              <w:rPr>
                <w:rFonts w:ascii="Cambria" w:hAnsi="Cambria" w:cs="Cambria"/>
                <w:color w:val="0A0A08"/>
                <w:sz w:val="20"/>
                <w:szCs w:val="20"/>
              </w:rPr>
              <w:t xml:space="preserve"> + ceftriaxone</w:t>
            </w:r>
          </w:p>
        </w:tc>
      </w:tr>
    </w:tbl>
    <w:p w14:paraId="4F45733D" w14:textId="4BCF4CD3" w:rsidR="004C2D72" w:rsidRPr="00EA72BB" w:rsidRDefault="004C2D72" w:rsidP="00EA72BB">
      <w:pPr>
        <w:pStyle w:val="ListParagraph"/>
        <w:widowControl w:val="0"/>
        <w:numPr>
          <w:ilvl w:val="0"/>
          <w:numId w:val="16"/>
        </w:numPr>
        <w:tabs>
          <w:tab w:val="left" w:pos="-90"/>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sz w:val="20"/>
          <w:szCs w:val="20"/>
        </w:rPr>
      </w:pPr>
      <w:r w:rsidRPr="004C2D72">
        <w:rPr>
          <w:rFonts w:ascii="Cambria" w:hAnsi="Cambria" w:cs="Cambria"/>
          <w:sz w:val="20"/>
          <w:szCs w:val="20"/>
        </w:rPr>
        <w:t>Parenteral antibiotics should be tailored to the most likely bacteria based on age group:</w:t>
      </w:r>
    </w:p>
    <w:p w14:paraId="3662CFB7" w14:textId="77777777" w:rsidR="004C2D72" w:rsidRPr="004C2D72" w:rsidRDefault="004C2D72" w:rsidP="00E07D7C">
      <w:pPr>
        <w:pStyle w:val="ListParagraph"/>
        <w:widowControl w:val="0"/>
        <w:numPr>
          <w:ilvl w:val="0"/>
          <w:numId w:val="17"/>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color w:val="0A0A08"/>
          <w:sz w:val="20"/>
          <w:szCs w:val="20"/>
        </w:rPr>
      </w:pPr>
      <w:r w:rsidRPr="004C2D72">
        <w:rPr>
          <w:rFonts w:ascii="Cambria" w:hAnsi="Cambria" w:cs="Cambria"/>
          <w:i/>
          <w:iCs/>
          <w:color w:val="0A0A08"/>
          <w:sz w:val="20"/>
          <w:szCs w:val="20"/>
        </w:rPr>
        <w:t xml:space="preserve">N. </w:t>
      </w:r>
      <w:proofErr w:type="gramStart"/>
      <w:r w:rsidRPr="004C2D72">
        <w:rPr>
          <w:rFonts w:ascii="Cambria" w:hAnsi="Cambria" w:cs="Cambria"/>
          <w:i/>
          <w:iCs/>
          <w:color w:val="0A0A08"/>
          <w:sz w:val="20"/>
          <w:szCs w:val="20"/>
        </w:rPr>
        <w:t>gonorrhea</w:t>
      </w:r>
      <w:proofErr w:type="gramEnd"/>
      <w:r w:rsidRPr="004C2D72">
        <w:rPr>
          <w:rFonts w:ascii="Cambria" w:hAnsi="Cambria" w:cs="Cambria"/>
          <w:color w:val="0A0A08"/>
          <w:sz w:val="20"/>
          <w:szCs w:val="20"/>
        </w:rPr>
        <w:t xml:space="preserve"> can also be seen in neonates.  Patients with sickle cell disease are susceptible to </w:t>
      </w:r>
      <w:r w:rsidRPr="004C2D72">
        <w:rPr>
          <w:rFonts w:ascii="Cambria" w:hAnsi="Cambria" w:cs="Cambria"/>
          <w:i/>
          <w:iCs/>
          <w:color w:val="0A0A08"/>
          <w:sz w:val="20"/>
          <w:szCs w:val="20"/>
        </w:rPr>
        <w:t>Salmonella</w:t>
      </w:r>
      <w:r w:rsidRPr="004C2D72">
        <w:rPr>
          <w:rFonts w:ascii="Cambria" w:hAnsi="Cambria" w:cs="Cambria"/>
          <w:color w:val="0A0A08"/>
          <w:sz w:val="20"/>
          <w:szCs w:val="20"/>
        </w:rPr>
        <w:t xml:space="preserve"> infections and should also be treated with a 3rd generation cephalosporin.</w:t>
      </w:r>
    </w:p>
    <w:p w14:paraId="07C7702F"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A0A08"/>
          <w:sz w:val="20"/>
          <w:szCs w:val="20"/>
        </w:rPr>
      </w:pPr>
    </w:p>
    <w:p w14:paraId="530E39F1" w14:textId="77777777" w:rsidR="00EA72BB" w:rsidRDefault="00EA72BB"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A0A08"/>
          <w:sz w:val="20"/>
          <w:szCs w:val="20"/>
          <w:u w:val="single" w:color="0A0A08"/>
        </w:rPr>
      </w:pPr>
    </w:p>
    <w:p w14:paraId="59009286" w14:textId="77777777" w:rsidR="00925F51" w:rsidRDefault="00925F51"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A0A08"/>
          <w:sz w:val="20"/>
          <w:szCs w:val="20"/>
          <w:u w:val="single" w:color="0A0A08"/>
        </w:rPr>
      </w:pPr>
    </w:p>
    <w:p w14:paraId="06020363" w14:textId="77777777" w:rsidR="00925F51" w:rsidRDefault="00925F51"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A0A08"/>
          <w:sz w:val="20"/>
          <w:szCs w:val="20"/>
          <w:u w:val="single" w:color="0A0A08"/>
        </w:rPr>
      </w:pPr>
    </w:p>
    <w:p w14:paraId="0927603E"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A0A08"/>
          <w:sz w:val="20"/>
          <w:szCs w:val="20"/>
          <w:u w:color="0A0A08"/>
        </w:rPr>
      </w:pPr>
      <w:r>
        <w:rPr>
          <w:rFonts w:ascii="Cambria" w:hAnsi="Cambria" w:cs="Cambria"/>
          <w:color w:val="0A0A08"/>
          <w:sz w:val="20"/>
          <w:szCs w:val="20"/>
          <w:u w:val="single" w:color="0A0A08"/>
        </w:rPr>
        <w:lastRenderedPageBreak/>
        <w:t>Adult Non-</w:t>
      </w:r>
      <w:proofErr w:type="spellStart"/>
      <w:r>
        <w:rPr>
          <w:rFonts w:ascii="Cambria" w:hAnsi="Cambria" w:cs="Cambria"/>
          <w:color w:val="0A0A08"/>
          <w:sz w:val="20"/>
          <w:szCs w:val="20"/>
          <w:u w:val="single" w:color="0A0A08"/>
        </w:rPr>
        <w:t>Gonococcal</w:t>
      </w:r>
      <w:proofErr w:type="spellEnd"/>
      <w:r>
        <w:rPr>
          <w:rFonts w:ascii="Cambria" w:hAnsi="Cambria" w:cs="Cambria"/>
          <w:color w:val="0A0A08"/>
          <w:sz w:val="20"/>
          <w:szCs w:val="20"/>
          <w:u w:val="single" w:color="0A0A08"/>
        </w:rPr>
        <w:t xml:space="preserve"> Septic Arthritis</w:t>
      </w:r>
    </w:p>
    <w:p w14:paraId="46A3E198" w14:textId="77777777" w:rsidR="004C2D72" w:rsidRPr="004C2D72" w:rsidRDefault="004C2D72" w:rsidP="00E07D7C">
      <w:pPr>
        <w:pStyle w:val="ListParagraph"/>
        <w:widowControl w:val="0"/>
        <w:numPr>
          <w:ilvl w:val="0"/>
          <w:numId w:val="1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Risk factors include IV drug abuse, HIV, DM, </w:t>
      </w:r>
      <w:proofErr w:type="spellStart"/>
      <w:r w:rsidRPr="004C2D72">
        <w:rPr>
          <w:rFonts w:ascii="Cambria" w:hAnsi="Cambria" w:cs="Cambria"/>
          <w:color w:val="0A0A08"/>
          <w:sz w:val="20"/>
          <w:szCs w:val="20"/>
          <w:u w:color="0A0A08"/>
        </w:rPr>
        <w:t>immunocompromise</w:t>
      </w:r>
      <w:proofErr w:type="spellEnd"/>
      <w:r w:rsidRPr="004C2D72">
        <w:rPr>
          <w:rFonts w:ascii="Cambria" w:hAnsi="Cambria" w:cs="Cambria"/>
          <w:color w:val="0A0A08"/>
          <w:sz w:val="20"/>
          <w:szCs w:val="20"/>
          <w:u w:color="0A0A08"/>
        </w:rPr>
        <w:t xml:space="preserve">, chronic arthritis, and prosthetic joints.  Most commonly occurs by </w:t>
      </w:r>
      <w:proofErr w:type="spellStart"/>
      <w:proofErr w:type="gramStart"/>
      <w:r w:rsidRPr="004C2D72">
        <w:rPr>
          <w:rFonts w:ascii="Cambria" w:hAnsi="Cambria" w:cs="Cambria"/>
          <w:color w:val="0A0A08"/>
          <w:sz w:val="20"/>
          <w:szCs w:val="20"/>
          <w:u w:color="0A0A08"/>
        </w:rPr>
        <w:t>hematogenous</w:t>
      </w:r>
      <w:proofErr w:type="spellEnd"/>
      <w:proofErr w:type="gramEnd"/>
      <w:r w:rsidRPr="004C2D72">
        <w:rPr>
          <w:rFonts w:ascii="Cambria" w:hAnsi="Cambria" w:cs="Cambria"/>
          <w:color w:val="0A0A08"/>
          <w:sz w:val="20"/>
          <w:szCs w:val="20"/>
          <w:u w:color="0A0A08"/>
        </w:rPr>
        <w:t xml:space="preserve"> spread.</w:t>
      </w:r>
    </w:p>
    <w:p w14:paraId="18127178" w14:textId="77777777" w:rsidR="004C2D72" w:rsidRPr="004C2D72" w:rsidRDefault="004C2D72" w:rsidP="00E07D7C">
      <w:pPr>
        <w:pStyle w:val="ListParagraph"/>
        <w:widowControl w:val="0"/>
        <w:numPr>
          <w:ilvl w:val="0"/>
          <w:numId w:val="1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Predominantly involves </w:t>
      </w:r>
      <w:proofErr w:type="gramStart"/>
      <w:r w:rsidRPr="004C2D72">
        <w:rPr>
          <w:rFonts w:ascii="Cambria" w:hAnsi="Cambria" w:cs="Cambria"/>
          <w:color w:val="0A0A08"/>
          <w:sz w:val="20"/>
          <w:szCs w:val="20"/>
          <w:u w:color="0A0A08"/>
        </w:rPr>
        <w:t>gram positive</w:t>
      </w:r>
      <w:proofErr w:type="gramEnd"/>
      <w:r w:rsidRPr="004C2D72">
        <w:rPr>
          <w:rFonts w:ascii="Cambria" w:hAnsi="Cambria" w:cs="Cambria"/>
          <w:color w:val="0A0A08"/>
          <w:sz w:val="20"/>
          <w:szCs w:val="20"/>
          <w:u w:color="0A0A08"/>
        </w:rPr>
        <w:t xml:space="preserve"> organisms (75-90% of cases), most commonly </w:t>
      </w:r>
      <w:r w:rsidRPr="004C2D72">
        <w:rPr>
          <w:rFonts w:ascii="Cambria" w:hAnsi="Cambria" w:cs="Cambria"/>
          <w:i/>
          <w:iCs/>
          <w:color w:val="0A0A08"/>
          <w:sz w:val="20"/>
          <w:szCs w:val="20"/>
          <w:u w:color="0A0A08"/>
        </w:rPr>
        <w:t xml:space="preserve">S. </w:t>
      </w:r>
      <w:proofErr w:type="spellStart"/>
      <w:r w:rsidRPr="004C2D72">
        <w:rPr>
          <w:rFonts w:ascii="Cambria" w:hAnsi="Cambria" w:cs="Cambria"/>
          <w:i/>
          <w:iCs/>
          <w:color w:val="0A0A08"/>
          <w:sz w:val="20"/>
          <w:szCs w:val="20"/>
          <w:u w:color="0A0A08"/>
        </w:rPr>
        <w:t>aureus</w:t>
      </w:r>
      <w:proofErr w:type="spellEnd"/>
      <w:r w:rsidRPr="004C2D72">
        <w:rPr>
          <w:rFonts w:ascii="Cambria" w:hAnsi="Cambria" w:cs="Cambria"/>
          <w:color w:val="0A0A08"/>
          <w:sz w:val="20"/>
          <w:szCs w:val="20"/>
          <w:u w:color="0A0A08"/>
        </w:rPr>
        <w:t xml:space="preserve">, though gram negative bacilli are involved in 10-20% of cases.  </w:t>
      </w:r>
      <w:r w:rsidRPr="004C2D72">
        <w:rPr>
          <w:rFonts w:ascii="Cambria" w:hAnsi="Cambria" w:cs="Cambria"/>
          <w:i/>
          <w:iCs/>
          <w:color w:val="0A0A08"/>
          <w:sz w:val="20"/>
          <w:szCs w:val="20"/>
          <w:u w:color="0A0A08"/>
        </w:rPr>
        <w:t>Pseudomonas</w:t>
      </w:r>
      <w:r w:rsidRPr="004C2D72">
        <w:rPr>
          <w:rFonts w:ascii="Cambria" w:hAnsi="Cambria" w:cs="Cambria"/>
          <w:color w:val="0A0A08"/>
          <w:sz w:val="20"/>
          <w:szCs w:val="20"/>
          <w:u w:color="0A0A08"/>
        </w:rPr>
        <w:t xml:space="preserve"> and </w:t>
      </w:r>
      <w:r w:rsidRPr="004C2D72">
        <w:rPr>
          <w:rFonts w:ascii="Cambria" w:hAnsi="Cambria" w:cs="Cambria"/>
          <w:i/>
          <w:iCs/>
          <w:color w:val="0A0A08"/>
          <w:sz w:val="20"/>
          <w:szCs w:val="20"/>
          <w:u w:color="0A0A08"/>
        </w:rPr>
        <w:t xml:space="preserve">S. </w:t>
      </w:r>
      <w:proofErr w:type="spellStart"/>
      <w:r w:rsidRPr="004C2D72">
        <w:rPr>
          <w:rFonts w:ascii="Cambria" w:hAnsi="Cambria" w:cs="Cambria"/>
          <w:i/>
          <w:iCs/>
          <w:color w:val="0A0A08"/>
          <w:sz w:val="20"/>
          <w:szCs w:val="20"/>
          <w:u w:color="0A0A08"/>
        </w:rPr>
        <w:t>aureus</w:t>
      </w:r>
      <w:proofErr w:type="spellEnd"/>
      <w:r w:rsidRPr="004C2D72">
        <w:rPr>
          <w:rFonts w:ascii="Cambria" w:hAnsi="Cambria" w:cs="Cambria"/>
          <w:color w:val="0A0A08"/>
          <w:sz w:val="20"/>
          <w:szCs w:val="20"/>
          <w:u w:color="0A0A08"/>
        </w:rPr>
        <w:t xml:space="preserve"> are most common in IV drug abusers.</w:t>
      </w:r>
    </w:p>
    <w:p w14:paraId="1697B5A1" w14:textId="77777777" w:rsidR="004C2D72" w:rsidRPr="004C2D72" w:rsidRDefault="004C2D72" w:rsidP="00E07D7C">
      <w:pPr>
        <w:pStyle w:val="ListParagraph"/>
        <w:widowControl w:val="0"/>
        <w:numPr>
          <w:ilvl w:val="0"/>
          <w:numId w:val="1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color w:val="0A0A08"/>
          <w:sz w:val="20"/>
          <w:szCs w:val="20"/>
          <w:u w:color="0A0A08"/>
        </w:rPr>
      </w:pPr>
      <w:r w:rsidRPr="004C2D72">
        <w:rPr>
          <w:rFonts w:ascii="Cambria" w:hAnsi="Cambria" w:cs="Cambria"/>
          <w:color w:val="0A0A08"/>
          <w:sz w:val="20"/>
          <w:szCs w:val="20"/>
          <w:u w:color="0A0A08"/>
        </w:rPr>
        <w:t>The absence of most risk factors (age &gt; 80, HIV, DM) and exam findings (swelling, tenderness, erythema, warmth, fever) do not reliably exclude SA.  The presence of a skin infection overlying a prosthetic joint is highly concerning for SA, while the absence of pain with joint movement essentially rules it out.</w:t>
      </w:r>
    </w:p>
    <w:p w14:paraId="551F9B55" w14:textId="77777777" w:rsidR="004C2D72" w:rsidRPr="004C2D72" w:rsidRDefault="004C2D72" w:rsidP="00E07D7C">
      <w:pPr>
        <w:pStyle w:val="ListParagraph"/>
        <w:widowControl w:val="0"/>
        <w:numPr>
          <w:ilvl w:val="0"/>
          <w:numId w:val="1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Serum WBC, CRP, and ESR also perform poorly at ruling in or out disease.  A synovial WBC &lt; 1,700 makes the probability of SA in a native joint unlikely (negative LR 0.07).  A synovial WBC &gt; 100K </w:t>
      </w:r>
      <w:proofErr w:type="gramStart"/>
      <w:r w:rsidRPr="004C2D72">
        <w:rPr>
          <w:rFonts w:ascii="Cambria" w:hAnsi="Cambria" w:cs="Cambria"/>
          <w:color w:val="0A0A08"/>
          <w:sz w:val="20"/>
          <w:szCs w:val="20"/>
          <w:u w:color="0A0A08"/>
        </w:rPr>
        <w:t>makes</w:t>
      </w:r>
      <w:proofErr w:type="gramEnd"/>
      <w:r w:rsidRPr="004C2D72">
        <w:rPr>
          <w:rFonts w:ascii="Cambria" w:hAnsi="Cambria" w:cs="Cambria"/>
          <w:color w:val="0A0A08"/>
          <w:sz w:val="20"/>
          <w:szCs w:val="20"/>
          <w:u w:color="0A0A08"/>
        </w:rPr>
        <w:t xml:space="preserve"> the diagnosis highly likely (positive LR 13.2).  A synovial WBC in between these values is not diagnostic by itself.  Synovial lactate, while promising, is not yet ready to be used in evaluating SA.</w:t>
      </w:r>
    </w:p>
    <w:p w14:paraId="3896EE69" w14:textId="77777777" w:rsidR="004C2D72" w:rsidRPr="004C2D72" w:rsidRDefault="004C2D72" w:rsidP="00E07D7C">
      <w:pPr>
        <w:pStyle w:val="ListParagraph"/>
        <w:widowControl w:val="0"/>
        <w:numPr>
          <w:ilvl w:val="0"/>
          <w:numId w:val="1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Treatment involves surgical </w:t>
      </w:r>
      <w:proofErr w:type="spellStart"/>
      <w:r w:rsidRPr="004C2D72">
        <w:rPr>
          <w:rFonts w:ascii="Cambria" w:hAnsi="Cambria" w:cs="Cambria"/>
          <w:color w:val="0A0A08"/>
          <w:sz w:val="20"/>
          <w:szCs w:val="20"/>
          <w:u w:color="0A0A08"/>
        </w:rPr>
        <w:t>arthrotomy</w:t>
      </w:r>
      <w:proofErr w:type="spellEnd"/>
      <w:r w:rsidRPr="004C2D72">
        <w:rPr>
          <w:rFonts w:ascii="Cambria" w:hAnsi="Cambria" w:cs="Cambria"/>
          <w:color w:val="0A0A08"/>
          <w:sz w:val="20"/>
          <w:szCs w:val="20"/>
          <w:u w:color="0A0A08"/>
        </w:rPr>
        <w:t xml:space="preserve"> with irrigation and </w:t>
      </w:r>
      <w:proofErr w:type="spellStart"/>
      <w:r w:rsidRPr="004C2D72">
        <w:rPr>
          <w:rFonts w:ascii="Cambria" w:hAnsi="Cambria" w:cs="Cambria"/>
          <w:color w:val="0A0A08"/>
          <w:sz w:val="20"/>
          <w:szCs w:val="20"/>
          <w:u w:color="0A0A08"/>
        </w:rPr>
        <w:t>dibridement</w:t>
      </w:r>
      <w:proofErr w:type="spellEnd"/>
      <w:r w:rsidRPr="004C2D72">
        <w:rPr>
          <w:rFonts w:ascii="Cambria" w:hAnsi="Cambria" w:cs="Cambria"/>
          <w:color w:val="0A0A08"/>
          <w:sz w:val="20"/>
          <w:szCs w:val="20"/>
          <w:u w:color="0A0A08"/>
        </w:rPr>
        <w:t>, though some studies suggest serial aspiration may be as effective.  IV antibiotics should be used in conjunction with either treatment modality.</w:t>
      </w:r>
    </w:p>
    <w:p w14:paraId="11450684" w14:textId="77777777" w:rsidR="004C2D72" w:rsidRPr="004C2D72" w:rsidRDefault="004C2D72" w:rsidP="00E07D7C">
      <w:pPr>
        <w:pStyle w:val="ListParagraph"/>
        <w:widowControl w:val="0"/>
        <w:numPr>
          <w:ilvl w:val="0"/>
          <w:numId w:val="1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jc w:val="both"/>
        <w:rPr>
          <w:rFonts w:ascii="Cambria" w:hAnsi="Cambria" w:cs="Cambria"/>
          <w:color w:val="0A0A08"/>
          <w:sz w:val="20"/>
          <w:szCs w:val="20"/>
          <w:u w:color="0A0A08"/>
        </w:rPr>
      </w:pPr>
      <w:r w:rsidRPr="004C2D72">
        <w:rPr>
          <w:rFonts w:ascii="Cambria" w:hAnsi="Cambria" w:cs="Cambria"/>
          <w:b/>
          <w:bCs/>
          <w:color w:val="0A0A08"/>
          <w:sz w:val="20"/>
          <w:szCs w:val="20"/>
          <w:u w:color="0A0A08"/>
        </w:rPr>
        <w:t>Prosthetic joint infection</w:t>
      </w:r>
      <w:r w:rsidRPr="004C2D72">
        <w:rPr>
          <w:rFonts w:ascii="Cambria" w:hAnsi="Cambria" w:cs="Cambria"/>
          <w:color w:val="0A0A08"/>
          <w:sz w:val="20"/>
          <w:szCs w:val="20"/>
          <w:u w:color="0A0A08"/>
        </w:rPr>
        <w:t xml:space="preserve"> is divided into early, delayed, and late types.  Much lower synovial WBCs are seen compared to native joint SA, and WBC of 1,700 is sufficient to make the diagnosis.  Treatment involves hardware removal, antibiotic spacers or beads, and IV antibiotics.  When SA is suspected in a prosthetic joint, evaluation should proceed in consultation with the orthopedist.</w:t>
      </w:r>
    </w:p>
    <w:p w14:paraId="2017BDA9"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A0A08"/>
          <w:sz w:val="20"/>
          <w:szCs w:val="20"/>
          <w:u w:color="0A0A08"/>
        </w:rPr>
      </w:pPr>
    </w:p>
    <w:p w14:paraId="49D3CFB7"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A0A08"/>
          <w:sz w:val="20"/>
          <w:szCs w:val="20"/>
          <w:u w:val="single" w:color="0A0A08"/>
        </w:rPr>
      </w:pPr>
      <w:proofErr w:type="spellStart"/>
      <w:r>
        <w:rPr>
          <w:rFonts w:ascii="Cambria" w:hAnsi="Cambria" w:cs="Cambria"/>
          <w:color w:val="0A0A08"/>
          <w:sz w:val="20"/>
          <w:szCs w:val="20"/>
          <w:u w:val="single" w:color="0A0A08"/>
        </w:rPr>
        <w:t>Gonococcal</w:t>
      </w:r>
      <w:proofErr w:type="spellEnd"/>
      <w:r>
        <w:rPr>
          <w:rFonts w:ascii="Cambria" w:hAnsi="Cambria" w:cs="Cambria"/>
          <w:color w:val="0A0A08"/>
          <w:sz w:val="20"/>
          <w:szCs w:val="20"/>
          <w:u w:val="single" w:color="0A0A08"/>
        </w:rPr>
        <w:t xml:space="preserve"> Septic Arthritis</w:t>
      </w:r>
    </w:p>
    <w:p w14:paraId="5DD478B8" w14:textId="77777777" w:rsidR="004C2D72" w:rsidRPr="004C2D72" w:rsidRDefault="004C2D72" w:rsidP="00E07D7C">
      <w:pPr>
        <w:pStyle w:val="ListParagraph"/>
        <w:widowControl w:val="0"/>
        <w:numPr>
          <w:ilvl w:val="0"/>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The most common form of joint infection in sexually active patients.  Less likely to result in joint destruction than </w:t>
      </w:r>
      <w:proofErr w:type="spellStart"/>
      <w:r w:rsidRPr="004C2D72">
        <w:rPr>
          <w:rFonts w:ascii="Cambria" w:hAnsi="Cambria" w:cs="Cambria"/>
          <w:color w:val="0A0A08"/>
          <w:sz w:val="20"/>
          <w:szCs w:val="20"/>
          <w:u w:color="0A0A08"/>
        </w:rPr>
        <w:t>nongonococcal</w:t>
      </w:r>
      <w:proofErr w:type="spellEnd"/>
      <w:r w:rsidRPr="004C2D72">
        <w:rPr>
          <w:rFonts w:ascii="Cambria" w:hAnsi="Cambria" w:cs="Cambria"/>
          <w:color w:val="0A0A08"/>
          <w:sz w:val="20"/>
          <w:szCs w:val="20"/>
          <w:u w:color="0A0A08"/>
        </w:rPr>
        <w:t xml:space="preserve"> SA.  Systemic </w:t>
      </w:r>
      <w:proofErr w:type="spellStart"/>
      <w:r w:rsidRPr="004C2D72">
        <w:rPr>
          <w:rFonts w:ascii="Cambria" w:hAnsi="Cambria" w:cs="Cambria"/>
          <w:color w:val="0A0A08"/>
          <w:sz w:val="20"/>
          <w:szCs w:val="20"/>
          <w:u w:color="0A0A08"/>
        </w:rPr>
        <w:t>gonococcal</w:t>
      </w:r>
      <w:proofErr w:type="spellEnd"/>
      <w:r w:rsidRPr="004C2D72">
        <w:rPr>
          <w:rFonts w:ascii="Cambria" w:hAnsi="Cambria" w:cs="Cambria"/>
          <w:color w:val="0A0A08"/>
          <w:sz w:val="20"/>
          <w:szCs w:val="20"/>
          <w:u w:color="0A0A08"/>
        </w:rPr>
        <w:t xml:space="preserve"> infections occur in 0.5-3% of infected patients.</w:t>
      </w:r>
    </w:p>
    <w:p w14:paraId="3B28117F" w14:textId="77777777" w:rsidR="004C2D72" w:rsidRPr="004C2D72" w:rsidRDefault="004C2D72" w:rsidP="00E07D7C">
      <w:pPr>
        <w:pStyle w:val="ListParagraph"/>
        <w:widowControl w:val="0"/>
        <w:numPr>
          <w:ilvl w:val="0"/>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Two musculoskeletal </w:t>
      </w:r>
      <w:proofErr w:type="gramStart"/>
      <w:r w:rsidRPr="004C2D72">
        <w:rPr>
          <w:rFonts w:ascii="Cambria" w:hAnsi="Cambria" w:cs="Cambria"/>
          <w:color w:val="0A0A08"/>
          <w:sz w:val="20"/>
          <w:szCs w:val="20"/>
          <w:u w:color="0A0A08"/>
        </w:rPr>
        <w:t>syndrome</w:t>
      </w:r>
      <w:proofErr w:type="gramEnd"/>
      <w:r w:rsidRPr="004C2D72">
        <w:rPr>
          <w:rFonts w:ascii="Cambria" w:hAnsi="Cambria" w:cs="Cambria"/>
          <w:color w:val="0A0A08"/>
          <w:sz w:val="20"/>
          <w:szCs w:val="20"/>
          <w:u w:color="0A0A08"/>
        </w:rPr>
        <w:t xml:space="preserve"> associated with systemic gonococcus.</w:t>
      </w:r>
    </w:p>
    <w:p w14:paraId="0B340923" w14:textId="77777777" w:rsidR="004C2D72" w:rsidRPr="004C2D72" w:rsidRDefault="004C2D72" w:rsidP="00E07D7C">
      <w:pPr>
        <w:pStyle w:val="ListParagraph"/>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Disseminated </w:t>
      </w:r>
      <w:proofErr w:type="spellStart"/>
      <w:r w:rsidRPr="004C2D72">
        <w:rPr>
          <w:rFonts w:ascii="Cambria" w:hAnsi="Cambria" w:cs="Cambria"/>
          <w:color w:val="0A0A08"/>
          <w:sz w:val="20"/>
          <w:szCs w:val="20"/>
          <w:u w:color="0A0A08"/>
        </w:rPr>
        <w:t>gonococcal</w:t>
      </w:r>
      <w:proofErr w:type="spellEnd"/>
      <w:r w:rsidRPr="004C2D72">
        <w:rPr>
          <w:rFonts w:ascii="Cambria" w:hAnsi="Cambria" w:cs="Cambria"/>
          <w:color w:val="0A0A08"/>
          <w:sz w:val="20"/>
          <w:szCs w:val="20"/>
          <w:u w:color="0A0A08"/>
        </w:rPr>
        <w:t xml:space="preserve"> infection: bacteremia, diffuse migratory </w:t>
      </w:r>
      <w:proofErr w:type="spellStart"/>
      <w:r w:rsidRPr="004C2D72">
        <w:rPr>
          <w:rFonts w:ascii="Cambria" w:hAnsi="Cambria" w:cs="Cambria"/>
          <w:color w:val="0A0A08"/>
          <w:sz w:val="20"/>
          <w:szCs w:val="20"/>
          <w:u w:color="0A0A08"/>
        </w:rPr>
        <w:t>arthralgias</w:t>
      </w:r>
      <w:proofErr w:type="spellEnd"/>
      <w:r w:rsidRPr="004C2D72">
        <w:rPr>
          <w:rFonts w:ascii="Cambria" w:hAnsi="Cambria" w:cs="Cambria"/>
          <w:color w:val="0A0A08"/>
          <w:sz w:val="20"/>
          <w:szCs w:val="20"/>
          <w:u w:color="0A0A08"/>
        </w:rPr>
        <w:t>, tenosynovitis, and skin lesions.  Not typically associated with purulent arthritis, but some overlap does occur.</w:t>
      </w:r>
    </w:p>
    <w:p w14:paraId="664F2894" w14:textId="77777777" w:rsidR="004C2D72" w:rsidRPr="004C2D72" w:rsidRDefault="004C2D72" w:rsidP="00E07D7C">
      <w:pPr>
        <w:pStyle w:val="ListParagraph"/>
        <w:widowControl w:val="0"/>
        <w:numPr>
          <w:ilvl w:val="0"/>
          <w:numId w:val="1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Localized purulent septic arthritis, more often </w:t>
      </w:r>
      <w:proofErr w:type="spellStart"/>
      <w:r w:rsidRPr="004C2D72">
        <w:rPr>
          <w:rFonts w:ascii="Cambria" w:hAnsi="Cambria" w:cs="Cambria"/>
          <w:color w:val="0A0A08"/>
          <w:sz w:val="20"/>
          <w:szCs w:val="20"/>
          <w:u w:color="0A0A08"/>
        </w:rPr>
        <w:t>oligoarticular</w:t>
      </w:r>
      <w:proofErr w:type="spellEnd"/>
      <w:r w:rsidRPr="004C2D72">
        <w:rPr>
          <w:rFonts w:ascii="Cambria" w:hAnsi="Cambria" w:cs="Cambria"/>
          <w:color w:val="0A0A08"/>
          <w:sz w:val="20"/>
          <w:szCs w:val="20"/>
          <w:u w:color="0A0A08"/>
        </w:rPr>
        <w:t xml:space="preserve"> than </w:t>
      </w:r>
      <w:proofErr w:type="spellStart"/>
      <w:r w:rsidRPr="004C2D72">
        <w:rPr>
          <w:rFonts w:ascii="Cambria" w:hAnsi="Cambria" w:cs="Cambria"/>
          <w:color w:val="0A0A08"/>
          <w:sz w:val="20"/>
          <w:szCs w:val="20"/>
          <w:u w:color="0A0A08"/>
        </w:rPr>
        <w:t>monoarticular</w:t>
      </w:r>
      <w:proofErr w:type="spellEnd"/>
      <w:r w:rsidRPr="004C2D72">
        <w:rPr>
          <w:rFonts w:ascii="Cambria" w:hAnsi="Cambria" w:cs="Cambria"/>
          <w:color w:val="0A0A08"/>
          <w:sz w:val="20"/>
          <w:szCs w:val="20"/>
          <w:u w:color="0A0A08"/>
        </w:rPr>
        <w:t>.</w:t>
      </w:r>
    </w:p>
    <w:p w14:paraId="05D49DB2" w14:textId="77777777" w:rsidR="004C2D72" w:rsidRPr="004C2D72" w:rsidRDefault="004C2D72" w:rsidP="00E07D7C">
      <w:pPr>
        <w:pStyle w:val="ListParagraph"/>
        <w:widowControl w:val="0"/>
        <w:numPr>
          <w:ilvl w:val="0"/>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Synovial and blood cultures only positive in 10-50% of cases, so cervical, urethral, rectal, and pharyngeal cultures should be obtained.  The synovial WBC is typically lower than in </w:t>
      </w:r>
      <w:proofErr w:type="spellStart"/>
      <w:r w:rsidRPr="004C2D72">
        <w:rPr>
          <w:rFonts w:ascii="Cambria" w:hAnsi="Cambria" w:cs="Cambria"/>
          <w:color w:val="0A0A08"/>
          <w:sz w:val="20"/>
          <w:szCs w:val="20"/>
          <w:u w:color="0A0A08"/>
        </w:rPr>
        <w:t>nongonococcal</w:t>
      </w:r>
      <w:proofErr w:type="spellEnd"/>
      <w:r w:rsidRPr="004C2D72">
        <w:rPr>
          <w:rFonts w:ascii="Cambria" w:hAnsi="Cambria" w:cs="Cambria"/>
          <w:color w:val="0A0A08"/>
          <w:sz w:val="20"/>
          <w:szCs w:val="20"/>
          <w:u w:color="0A0A08"/>
        </w:rPr>
        <w:t xml:space="preserve"> SA.</w:t>
      </w:r>
    </w:p>
    <w:p w14:paraId="7F198004" w14:textId="1A137D65" w:rsidR="004C2D72" w:rsidRDefault="004C2D72" w:rsidP="004C2D72">
      <w:pPr>
        <w:pStyle w:val="ListParagraph"/>
        <w:widowControl w:val="0"/>
        <w:numPr>
          <w:ilvl w:val="0"/>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60"/>
        <w:jc w:val="both"/>
        <w:rPr>
          <w:rFonts w:ascii="Cambria" w:hAnsi="Cambria" w:cs="Cambria"/>
          <w:color w:val="0A0A08"/>
          <w:sz w:val="20"/>
          <w:szCs w:val="20"/>
          <w:u w:color="0A0A08"/>
        </w:rPr>
      </w:pPr>
      <w:r w:rsidRPr="004C2D72">
        <w:rPr>
          <w:rFonts w:ascii="Cambria" w:hAnsi="Cambria" w:cs="Cambria"/>
          <w:color w:val="0A0A08"/>
          <w:sz w:val="20"/>
          <w:szCs w:val="20"/>
          <w:u w:color="0A0A08"/>
        </w:rPr>
        <w:t xml:space="preserve">Treatment involves parenteral third-generation </w:t>
      </w:r>
      <w:proofErr w:type="spellStart"/>
      <w:r w:rsidRPr="004C2D72">
        <w:rPr>
          <w:rFonts w:ascii="Cambria" w:hAnsi="Cambria" w:cs="Cambria"/>
          <w:color w:val="0A0A08"/>
          <w:sz w:val="20"/>
          <w:szCs w:val="20"/>
          <w:u w:color="0A0A08"/>
        </w:rPr>
        <w:t>cephalosporins</w:t>
      </w:r>
      <w:proofErr w:type="spellEnd"/>
      <w:r w:rsidRPr="004C2D72">
        <w:rPr>
          <w:rFonts w:ascii="Cambria" w:hAnsi="Cambria" w:cs="Cambria"/>
          <w:color w:val="0A0A08"/>
          <w:sz w:val="20"/>
          <w:szCs w:val="20"/>
          <w:u w:color="0A0A08"/>
        </w:rPr>
        <w:t xml:space="preserve"> (i.e. ceftriaxone).</w:t>
      </w:r>
    </w:p>
    <w:p w14:paraId="78BE4742" w14:textId="77777777" w:rsidR="00925F51" w:rsidRPr="00925F51" w:rsidRDefault="00925F51" w:rsidP="00925F51">
      <w:pPr>
        <w:pStyle w:val="ListParagraph"/>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ascii="Cambria" w:hAnsi="Cambria" w:cs="Cambria"/>
          <w:color w:val="0A0A08"/>
          <w:sz w:val="20"/>
          <w:szCs w:val="20"/>
          <w:u w:color="0A0A08"/>
        </w:rPr>
      </w:pPr>
    </w:p>
    <w:p w14:paraId="105107C0" w14:textId="77777777" w:rsidR="004C2D72" w:rsidRDefault="004C2D72" w:rsidP="004C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b/>
          <w:bCs/>
          <w:color w:val="0A0A08"/>
          <w:sz w:val="20"/>
          <w:szCs w:val="20"/>
          <w:u w:color="0A0A08"/>
        </w:rPr>
      </w:pPr>
      <w:r>
        <w:rPr>
          <w:rFonts w:ascii="Cambria" w:hAnsi="Cambria" w:cs="Cambria"/>
          <w:b/>
          <w:bCs/>
          <w:color w:val="0A0A08"/>
          <w:sz w:val="20"/>
          <w:szCs w:val="20"/>
          <w:u w:color="0A0A08"/>
        </w:rPr>
        <w:t>References:</w:t>
      </w:r>
    </w:p>
    <w:p w14:paraId="0FA3129E" w14:textId="3B22EDC8" w:rsidR="004C2D72" w:rsidRDefault="004C2D72" w:rsidP="00E07D7C">
      <w:pPr>
        <w:widowControl w:val="0"/>
        <w:numPr>
          <w:ilvl w:val="0"/>
          <w:numId w:val="12"/>
        </w:numPr>
        <w:tabs>
          <w:tab w:val="left" w:pos="270"/>
          <w:tab w:val="left" w:pos="916"/>
          <w:tab w:val="left" w:pos="1832"/>
          <w:tab w:val="left" w:pos="2748"/>
          <w:tab w:val="left" w:pos="3664"/>
          <w:tab w:val="left" w:pos="4580"/>
          <w:tab w:val="left" w:pos="5496"/>
          <w:tab w:val="left" w:pos="6412"/>
          <w:tab w:val="left" w:pos="7328"/>
          <w:tab w:val="left" w:pos="8140"/>
        </w:tabs>
        <w:autoSpaceDE w:val="0"/>
        <w:autoSpaceDN w:val="0"/>
        <w:adjustRightInd w:val="0"/>
        <w:ind w:left="180" w:hanging="270"/>
        <w:jc w:val="both"/>
        <w:rPr>
          <w:rFonts w:ascii="Courier" w:hAnsi="Courier" w:cs="Courier"/>
          <w:sz w:val="20"/>
          <w:szCs w:val="20"/>
          <w:u w:color="0A0A08"/>
        </w:rPr>
      </w:pPr>
      <w:r>
        <w:rPr>
          <w:rFonts w:ascii="Cambria" w:hAnsi="Cambria" w:cs="Cambria"/>
          <w:sz w:val="20"/>
          <w:szCs w:val="20"/>
          <w:u w:color="0A0A08"/>
        </w:rPr>
        <w:t xml:space="preserve">Marx JA, </w:t>
      </w:r>
      <w:proofErr w:type="spellStart"/>
      <w:r>
        <w:rPr>
          <w:rFonts w:ascii="Cambria" w:hAnsi="Cambria" w:cs="Cambria"/>
          <w:sz w:val="20"/>
          <w:szCs w:val="20"/>
          <w:u w:color="0A0A08"/>
        </w:rPr>
        <w:t>Hockberger</w:t>
      </w:r>
      <w:proofErr w:type="spellEnd"/>
      <w:r>
        <w:rPr>
          <w:rFonts w:ascii="Cambria" w:hAnsi="Cambria" w:cs="Cambria"/>
          <w:sz w:val="20"/>
          <w:szCs w:val="20"/>
          <w:u w:color="0A0A08"/>
        </w:rPr>
        <w:t xml:space="preserve"> RS, Walls RM, et al., </w:t>
      </w:r>
      <w:proofErr w:type="gramStart"/>
      <w:r>
        <w:rPr>
          <w:rFonts w:ascii="Cambria" w:hAnsi="Cambria" w:cs="Cambria"/>
          <w:sz w:val="20"/>
          <w:szCs w:val="20"/>
          <w:u w:color="0A0A08"/>
        </w:rPr>
        <w:t>eds</w:t>
      </w:r>
      <w:proofErr w:type="gramEnd"/>
      <w:r>
        <w:rPr>
          <w:rFonts w:ascii="Cambria" w:hAnsi="Cambria" w:cs="Cambria"/>
          <w:sz w:val="20"/>
          <w:szCs w:val="20"/>
          <w:u w:color="0A0A08"/>
        </w:rPr>
        <w:t xml:space="preserve">. </w:t>
      </w:r>
      <w:r>
        <w:rPr>
          <w:rFonts w:ascii="Cambria" w:hAnsi="Cambria" w:cs="Cambria"/>
          <w:i/>
          <w:iCs/>
          <w:sz w:val="20"/>
          <w:szCs w:val="20"/>
          <w:u w:color="0A0A08"/>
        </w:rPr>
        <w:t>Rosen's Emergency Medicine: Concepts and Clinical Practice</w:t>
      </w:r>
      <w:r>
        <w:rPr>
          <w:rFonts w:ascii="Cambria" w:hAnsi="Cambria" w:cs="Cambria"/>
          <w:sz w:val="20"/>
          <w:szCs w:val="20"/>
          <w:u w:color="0A0A08"/>
        </w:rPr>
        <w:t>.</w:t>
      </w:r>
      <w:bookmarkStart w:id="0" w:name="_GoBack"/>
      <w:bookmarkEnd w:id="0"/>
    </w:p>
    <w:p w14:paraId="7E0DDDE8" w14:textId="77777777" w:rsidR="004C2D72" w:rsidRDefault="004C2D72" w:rsidP="00E07D7C">
      <w:pPr>
        <w:widowControl w:val="0"/>
        <w:numPr>
          <w:ilvl w:val="0"/>
          <w:numId w:val="12"/>
        </w:numPr>
        <w:tabs>
          <w:tab w:val="left" w:pos="270"/>
          <w:tab w:val="left" w:pos="916"/>
          <w:tab w:val="left" w:pos="1832"/>
          <w:tab w:val="left" w:pos="2748"/>
          <w:tab w:val="left" w:pos="3664"/>
          <w:tab w:val="left" w:pos="4580"/>
          <w:tab w:val="left" w:pos="5496"/>
          <w:tab w:val="left" w:pos="6412"/>
          <w:tab w:val="left" w:pos="7328"/>
          <w:tab w:val="left" w:pos="8140"/>
        </w:tabs>
        <w:autoSpaceDE w:val="0"/>
        <w:autoSpaceDN w:val="0"/>
        <w:adjustRightInd w:val="0"/>
        <w:ind w:left="180" w:hanging="270"/>
        <w:jc w:val="both"/>
        <w:rPr>
          <w:rFonts w:ascii="Courier" w:hAnsi="Courier" w:cs="Courier"/>
          <w:sz w:val="20"/>
          <w:szCs w:val="20"/>
          <w:u w:color="0A0A08"/>
        </w:rPr>
      </w:pPr>
      <w:r>
        <w:rPr>
          <w:rFonts w:ascii="Cambria" w:hAnsi="Cambria" w:cs="Cambria"/>
          <w:sz w:val="20"/>
          <w:szCs w:val="20"/>
          <w:u w:color="0A0A08"/>
        </w:rPr>
        <w:t>Fleisher GR, Ludwig S, editors. The textbook of pediatric emergency medicine. 6th ed. Philadelphia: Lippincott Williams &amp; Wilkins; 2010.</w:t>
      </w:r>
    </w:p>
    <w:p w14:paraId="75071B6B" w14:textId="77777777" w:rsidR="004C2D72" w:rsidRDefault="004C2D72" w:rsidP="00E07D7C">
      <w:pPr>
        <w:widowControl w:val="0"/>
        <w:numPr>
          <w:ilvl w:val="0"/>
          <w:numId w:val="12"/>
        </w:numPr>
        <w:tabs>
          <w:tab w:val="left" w:pos="270"/>
          <w:tab w:val="left" w:pos="916"/>
          <w:tab w:val="left" w:pos="1832"/>
          <w:tab w:val="left" w:pos="2748"/>
          <w:tab w:val="left" w:pos="3664"/>
          <w:tab w:val="left" w:pos="4580"/>
          <w:tab w:val="left" w:pos="5496"/>
          <w:tab w:val="left" w:pos="6412"/>
          <w:tab w:val="left" w:pos="7328"/>
          <w:tab w:val="left" w:pos="8140"/>
        </w:tabs>
        <w:autoSpaceDE w:val="0"/>
        <w:autoSpaceDN w:val="0"/>
        <w:adjustRightInd w:val="0"/>
        <w:ind w:left="180" w:hanging="270"/>
        <w:jc w:val="both"/>
        <w:rPr>
          <w:rFonts w:ascii="Courier" w:hAnsi="Courier" w:cs="Courier"/>
          <w:sz w:val="20"/>
          <w:szCs w:val="20"/>
          <w:u w:color="0A0A08"/>
        </w:rPr>
      </w:pPr>
      <w:proofErr w:type="spellStart"/>
      <w:r>
        <w:rPr>
          <w:rFonts w:ascii="Cambria" w:hAnsi="Cambria" w:cs="Cambria"/>
          <w:sz w:val="20"/>
          <w:szCs w:val="20"/>
          <w:u w:color="0A0A08"/>
        </w:rPr>
        <w:t>Leiszler</w:t>
      </w:r>
      <w:proofErr w:type="spellEnd"/>
      <w:r>
        <w:rPr>
          <w:rFonts w:ascii="Cambria" w:hAnsi="Cambria" w:cs="Cambria"/>
          <w:sz w:val="20"/>
          <w:szCs w:val="20"/>
          <w:u w:color="0A0A08"/>
        </w:rPr>
        <w:t xml:space="preserve"> M, </w:t>
      </w:r>
      <w:proofErr w:type="spellStart"/>
      <w:r>
        <w:rPr>
          <w:rFonts w:ascii="Cambria" w:hAnsi="Cambria" w:cs="Cambria"/>
          <w:sz w:val="20"/>
          <w:szCs w:val="20"/>
          <w:u w:color="0A0A08"/>
        </w:rPr>
        <w:t>Poddar</w:t>
      </w:r>
      <w:proofErr w:type="spellEnd"/>
      <w:r>
        <w:rPr>
          <w:rFonts w:ascii="Cambria" w:hAnsi="Cambria" w:cs="Cambria"/>
          <w:sz w:val="20"/>
          <w:szCs w:val="20"/>
          <w:u w:color="0A0A08"/>
        </w:rPr>
        <w:t xml:space="preserve"> S, Fletcher A. Clinical inquiry. Are serum uric acid levels always elevated in acute gout? J </w:t>
      </w:r>
      <w:proofErr w:type="spellStart"/>
      <w:proofErr w:type="gramStart"/>
      <w:r>
        <w:rPr>
          <w:rFonts w:ascii="Cambria" w:hAnsi="Cambria" w:cs="Cambria"/>
          <w:sz w:val="20"/>
          <w:szCs w:val="20"/>
          <w:u w:color="0A0A08"/>
        </w:rPr>
        <w:t>Fam</w:t>
      </w:r>
      <w:proofErr w:type="spellEnd"/>
      <w:proofErr w:type="gramEnd"/>
      <w:r>
        <w:rPr>
          <w:rFonts w:ascii="Cambria" w:hAnsi="Cambria" w:cs="Cambria"/>
          <w:sz w:val="20"/>
          <w:szCs w:val="20"/>
          <w:u w:color="0A0A08"/>
        </w:rPr>
        <w:t xml:space="preserve"> </w:t>
      </w:r>
      <w:proofErr w:type="spellStart"/>
      <w:r>
        <w:rPr>
          <w:rFonts w:ascii="Cambria" w:hAnsi="Cambria" w:cs="Cambria"/>
          <w:sz w:val="20"/>
          <w:szCs w:val="20"/>
          <w:u w:color="0A0A08"/>
        </w:rPr>
        <w:t>Pract</w:t>
      </w:r>
      <w:proofErr w:type="spellEnd"/>
      <w:r>
        <w:rPr>
          <w:rFonts w:ascii="Cambria" w:hAnsi="Cambria" w:cs="Cambria"/>
          <w:sz w:val="20"/>
          <w:szCs w:val="20"/>
          <w:u w:color="0A0A08"/>
        </w:rPr>
        <w:t>. 2011 Oct</w:t>
      </w:r>
      <w:proofErr w:type="gramStart"/>
      <w:r>
        <w:rPr>
          <w:rFonts w:ascii="Cambria" w:hAnsi="Cambria" w:cs="Cambria"/>
          <w:sz w:val="20"/>
          <w:szCs w:val="20"/>
          <w:u w:color="0A0A08"/>
        </w:rPr>
        <w:t>;60</w:t>
      </w:r>
      <w:proofErr w:type="gramEnd"/>
      <w:r>
        <w:rPr>
          <w:rFonts w:ascii="Cambria" w:hAnsi="Cambria" w:cs="Cambria"/>
          <w:sz w:val="20"/>
          <w:szCs w:val="20"/>
          <w:u w:color="0A0A08"/>
        </w:rPr>
        <w:t>(10):618-20. Review. PubMed PMID: 21977490.</w:t>
      </w:r>
    </w:p>
    <w:p w14:paraId="2CB3C7BE" w14:textId="1DD03B4B" w:rsidR="004C2D72" w:rsidRDefault="004C2D72" w:rsidP="00E07D7C">
      <w:pPr>
        <w:widowControl w:val="0"/>
        <w:numPr>
          <w:ilvl w:val="0"/>
          <w:numId w:val="12"/>
        </w:numPr>
        <w:tabs>
          <w:tab w:val="left" w:pos="270"/>
          <w:tab w:val="left" w:pos="916"/>
          <w:tab w:val="left" w:pos="1832"/>
          <w:tab w:val="left" w:pos="2748"/>
          <w:tab w:val="left" w:pos="3664"/>
          <w:tab w:val="left" w:pos="4580"/>
          <w:tab w:val="left" w:pos="5496"/>
          <w:tab w:val="left" w:pos="6412"/>
          <w:tab w:val="left" w:pos="7328"/>
          <w:tab w:val="left" w:pos="8140"/>
        </w:tabs>
        <w:autoSpaceDE w:val="0"/>
        <w:autoSpaceDN w:val="0"/>
        <w:adjustRightInd w:val="0"/>
        <w:ind w:left="180" w:hanging="270"/>
        <w:jc w:val="both"/>
        <w:rPr>
          <w:rFonts w:ascii="Cambria" w:hAnsi="Cambria" w:cs="Cambria"/>
          <w:sz w:val="20"/>
          <w:szCs w:val="20"/>
          <w:u w:color="0A0A08"/>
        </w:rPr>
      </w:pPr>
      <w:r>
        <w:rPr>
          <w:rFonts w:ascii="Cambria" w:hAnsi="Cambria" w:cs="Cambria"/>
          <w:sz w:val="20"/>
          <w:szCs w:val="20"/>
          <w:u w:color="0A0A08"/>
        </w:rPr>
        <w:t xml:space="preserve">Campion EW, Glynn RJ, </w:t>
      </w:r>
      <w:proofErr w:type="spellStart"/>
      <w:r>
        <w:rPr>
          <w:rFonts w:ascii="Cambria" w:hAnsi="Cambria" w:cs="Cambria"/>
          <w:sz w:val="20"/>
          <w:szCs w:val="20"/>
          <w:u w:color="0A0A08"/>
        </w:rPr>
        <w:t>DeLabry</w:t>
      </w:r>
      <w:proofErr w:type="spellEnd"/>
      <w:r>
        <w:rPr>
          <w:rFonts w:ascii="Cambria" w:hAnsi="Cambria" w:cs="Cambria"/>
          <w:sz w:val="20"/>
          <w:szCs w:val="20"/>
          <w:u w:color="0A0A08"/>
        </w:rPr>
        <w:t xml:space="preserve"> LO. Asymptomatic </w:t>
      </w:r>
      <w:proofErr w:type="spellStart"/>
      <w:r>
        <w:rPr>
          <w:rFonts w:ascii="Cambria" w:hAnsi="Cambria" w:cs="Cambria"/>
          <w:sz w:val="20"/>
          <w:szCs w:val="20"/>
          <w:u w:color="0A0A08"/>
        </w:rPr>
        <w:t>hyperuricemia</w:t>
      </w:r>
      <w:proofErr w:type="spellEnd"/>
      <w:r>
        <w:rPr>
          <w:rFonts w:ascii="Cambria" w:hAnsi="Cambria" w:cs="Cambria"/>
          <w:sz w:val="20"/>
          <w:szCs w:val="20"/>
          <w:u w:color="0A0A08"/>
        </w:rPr>
        <w:t>. Risks and consequences in the Normative Aging Study. Am J Med. 1987 Mar</w:t>
      </w:r>
      <w:proofErr w:type="gramStart"/>
      <w:r>
        <w:rPr>
          <w:rFonts w:ascii="Cambria" w:hAnsi="Cambria" w:cs="Cambria"/>
          <w:sz w:val="20"/>
          <w:szCs w:val="20"/>
          <w:u w:color="0A0A08"/>
        </w:rPr>
        <w:t>;82</w:t>
      </w:r>
      <w:proofErr w:type="gramEnd"/>
      <w:r>
        <w:rPr>
          <w:rFonts w:ascii="Cambria" w:hAnsi="Cambria" w:cs="Cambria"/>
          <w:sz w:val="20"/>
          <w:szCs w:val="20"/>
          <w:u w:color="0A0A08"/>
        </w:rPr>
        <w:t>(3):421-6.</w:t>
      </w:r>
    </w:p>
    <w:p w14:paraId="08027ED9" w14:textId="284FF0A9" w:rsidR="004C2D72" w:rsidRDefault="004C2D72" w:rsidP="00E07D7C">
      <w:pPr>
        <w:widowControl w:val="0"/>
        <w:numPr>
          <w:ilvl w:val="0"/>
          <w:numId w:val="12"/>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270"/>
        <w:jc w:val="both"/>
        <w:rPr>
          <w:rFonts w:ascii="Cambria" w:hAnsi="Cambria" w:cs="Cambria"/>
          <w:sz w:val="20"/>
          <w:szCs w:val="20"/>
          <w:u w:color="0A0A08"/>
        </w:rPr>
      </w:pPr>
      <w:r>
        <w:rPr>
          <w:rFonts w:ascii="Cambria" w:hAnsi="Cambria" w:cs="Cambria"/>
          <w:sz w:val="20"/>
          <w:szCs w:val="20"/>
          <w:u w:color="0A0A08"/>
        </w:rPr>
        <w:t xml:space="preserve">Langford HG, </w:t>
      </w:r>
      <w:proofErr w:type="spellStart"/>
      <w:r>
        <w:rPr>
          <w:rFonts w:ascii="Cambria" w:hAnsi="Cambria" w:cs="Cambria"/>
          <w:sz w:val="20"/>
          <w:szCs w:val="20"/>
          <w:u w:color="0A0A08"/>
        </w:rPr>
        <w:t>Blaufox</w:t>
      </w:r>
      <w:proofErr w:type="spellEnd"/>
      <w:r>
        <w:rPr>
          <w:rFonts w:ascii="Cambria" w:hAnsi="Cambria" w:cs="Cambria"/>
          <w:sz w:val="20"/>
          <w:szCs w:val="20"/>
          <w:u w:color="0A0A08"/>
        </w:rPr>
        <w:t xml:space="preserve"> MD, </w:t>
      </w:r>
      <w:proofErr w:type="spellStart"/>
      <w:r>
        <w:rPr>
          <w:rFonts w:ascii="Cambria" w:hAnsi="Cambria" w:cs="Cambria"/>
          <w:sz w:val="20"/>
          <w:szCs w:val="20"/>
          <w:u w:color="0A0A08"/>
        </w:rPr>
        <w:t>Borhani</w:t>
      </w:r>
      <w:proofErr w:type="spellEnd"/>
      <w:r>
        <w:rPr>
          <w:rFonts w:ascii="Cambria" w:hAnsi="Cambria" w:cs="Cambria"/>
          <w:sz w:val="20"/>
          <w:szCs w:val="20"/>
          <w:u w:color="0A0A08"/>
        </w:rPr>
        <w:t xml:space="preserve"> NO, Curb JD, </w:t>
      </w:r>
      <w:proofErr w:type="spellStart"/>
      <w:r>
        <w:rPr>
          <w:rFonts w:ascii="Cambria" w:hAnsi="Cambria" w:cs="Cambria"/>
          <w:sz w:val="20"/>
          <w:szCs w:val="20"/>
          <w:u w:color="0A0A08"/>
        </w:rPr>
        <w:t>Molteni</w:t>
      </w:r>
      <w:proofErr w:type="spellEnd"/>
      <w:r>
        <w:rPr>
          <w:rFonts w:ascii="Cambria" w:hAnsi="Cambria" w:cs="Cambria"/>
          <w:sz w:val="20"/>
          <w:szCs w:val="20"/>
          <w:u w:color="0A0A08"/>
        </w:rPr>
        <w:t xml:space="preserve"> A, Schneider KA, </w:t>
      </w:r>
      <w:proofErr w:type="spellStart"/>
      <w:r>
        <w:rPr>
          <w:rFonts w:ascii="Cambria" w:hAnsi="Cambria" w:cs="Cambria"/>
          <w:sz w:val="20"/>
          <w:szCs w:val="20"/>
          <w:u w:color="0A0A08"/>
        </w:rPr>
        <w:t>Pressel</w:t>
      </w:r>
      <w:proofErr w:type="spellEnd"/>
      <w:r>
        <w:rPr>
          <w:rFonts w:ascii="Cambria" w:hAnsi="Cambria" w:cs="Cambria"/>
          <w:sz w:val="20"/>
          <w:szCs w:val="20"/>
          <w:u w:color="0A0A08"/>
        </w:rPr>
        <w:t xml:space="preserve"> S. Is thiazide-produced uric acid elevation harmful? Analysis of data from the Hypertension Detection and Follow-up Program. Arch Intern Med. 1987</w:t>
      </w:r>
      <w:proofErr w:type="gramStart"/>
      <w:r>
        <w:rPr>
          <w:rFonts w:ascii="Cambria" w:hAnsi="Cambria" w:cs="Cambria"/>
          <w:sz w:val="20"/>
          <w:szCs w:val="20"/>
          <w:u w:color="0A0A08"/>
        </w:rPr>
        <w:t>;147</w:t>
      </w:r>
      <w:proofErr w:type="gramEnd"/>
      <w:r>
        <w:rPr>
          <w:rFonts w:ascii="Cambria" w:hAnsi="Cambria" w:cs="Cambria"/>
          <w:sz w:val="20"/>
          <w:szCs w:val="20"/>
          <w:u w:color="0A0A08"/>
        </w:rPr>
        <w:t>(4):645.</w:t>
      </w:r>
    </w:p>
    <w:p w14:paraId="62C8EE7F" w14:textId="77777777" w:rsidR="004C2D72" w:rsidRDefault="004C2D72" w:rsidP="00E07D7C">
      <w:pPr>
        <w:widowControl w:val="0"/>
        <w:numPr>
          <w:ilvl w:val="0"/>
          <w:numId w:val="12"/>
        </w:numPr>
        <w:tabs>
          <w:tab w:val="left" w:pos="270"/>
          <w:tab w:val="left" w:pos="916"/>
          <w:tab w:val="left" w:pos="1832"/>
          <w:tab w:val="left" w:pos="2748"/>
          <w:tab w:val="left" w:pos="3664"/>
          <w:tab w:val="left" w:pos="4580"/>
          <w:tab w:val="left" w:pos="5496"/>
          <w:tab w:val="left" w:pos="6412"/>
          <w:tab w:val="left" w:pos="7328"/>
          <w:tab w:val="left" w:pos="8140"/>
        </w:tabs>
        <w:autoSpaceDE w:val="0"/>
        <w:autoSpaceDN w:val="0"/>
        <w:adjustRightInd w:val="0"/>
        <w:ind w:left="180" w:hanging="270"/>
        <w:jc w:val="both"/>
        <w:rPr>
          <w:rFonts w:ascii="Courier" w:hAnsi="Courier" w:cs="Courier"/>
          <w:sz w:val="20"/>
          <w:szCs w:val="20"/>
          <w:u w:color="0A0A08"/>
        </w:rPr>
      </w:pPr>
      <w:proofErr w:type="spellStart"/>
      <w:r>
        <w:rPr>
          <w:rFonts w:ascii="Cambria" w:hAnsi="Cambria" w:cs="Cambria"/>
          <w:sz w:val="20"/>
          <w:szCs w:val="20"/>
          <w:u w:color="0A0A08"/>
        </w:rPr>
        <w:t>Terkeltaub</w:t>
      </w:r>
      <w:proofErr w:type="spellEnd"/>
      <w:r>
        <w:rPr>
          <w:rFonts w:ascii="Cambria" w:hAnsi="Cambria" w:cs="Cambria"/>
          <w:sz w:val="20"/>
          <w:szCs w:val="20"/>
          <w:u w:color="0A0A08"/>
        </w:rPr>
        <w:t xml:space="preserve"> RA, </w:t>
      </w:r>
      <w:proofErr w:type="spellStart"/>
      <w:r>
        <w:rPr>
          <w:rFonts w:ascii="Cambria" w:hAnsi="Cambria" w:cs="Cambria"/>
          <w:sz w:val="20"/>
          <w:szCs w:val="20"/>
          <w:u w:color="0A0A08"/>
        </w:rPr>
        <w:t>Furst</w:t>
      </w:r>
      <w:proofErr w:type="spellEnd"/>
      <w:r>
        <w:rPr>
          <w:rFonts w:ascii="Cambria" w:hAnsi="Cambria" w:cs="Cambria"/>
          <w:sz w:val="20"/>
          <w:szCs w:val="20"/>
          <w:u w:color="0A0A08"/>
        </w:rPr>
        <w:t xml:space="preserve"> DE, Bennett K, Kook KA, Crockett RS, Davis MW. High versus low dosing of oral colchicine for early acute gout flare: Twenty-four-hour outcome of the first multicenter, randomized, </w:t>
      </w:r>
      <w:proofErr w:type="gramStart"/>
      <w:r>
        <w:rPr>
          <w:rFonts w:ascii="Cambria" w:hAnsi="Cambria" w:cs="Cambria"/>
          <w:sz w:val="20"/>
          <w:szCs w:val="20"/>
          <w:u w:color="0A0A08"/>
        </w:rPr>
        <w:t>double-blind</w:t>
      </w:r>
      <w:proofErr w:type="gramEnd"/>
      <w:r>
        <w:rPr>
          <w:rFonts w:ascii="Cambria" w:hAnsi="Cambria" w:cs="Cambria"/>
          <w:sz w:val="20"/>
          <w:szCs w:val="20"/>
          <w:u w:color="0A0A08"/>
        </w:rPr>
        <w:t>, placebo-controlled, parallel-group, dose-comparison colchicine study. Arthritis Rheum. 2010 Apr</w:t>
      </w:r>
      <w:proofErr w:type="gramStart"/>
      <w:r>
        <w:rPr>
          <w:rFonts w:ascii="Cambria" w:hAnsi="Cambria" w:cs="Cambria"/>
          <w:sz w:val="20"/>
          <w:szCs w:val="20"/>
          <w:u w:color="0A0A08"/>
        </w:rPr>
        <w:t>;62</w:t>
      </w:r>
      <w:proofErr w:type="gramEnd"/>
      <w:r>
        <w:rPr>
          <w:rFonts w:ascii="Cambria" w:hAnsi="Cambria" w:cs="Cambria"/>
          <w:sz w:val="20"/>
          <w:szCs w:val="20"/>
          <w:u w:color="0A0A08"/>
        </w:rPr>
        <w:t>(4):1060-8.</w:t>
      </w:r>
    </w:p>
    <w:p w14:paraId="2D4C44F9" w14:textId="3CFDA94C" w:rsidR="004C2D72" w:rsidRPr="00EA72BB" w:rsidRDefault="004C2D72" w:rsidP="00EA72BB">
      <w:pPr>
        <w:pStyle w:val="ListParagraph"/>
        <w:numPr>
          <w:ilvl w:val="0"/>
          <w:numId w:val="12"/>
        </w:numPr>
        <w:tabs>
          <w:tab w:val="left" w:pos="270"/>
        </w:tabs>
        <w:ind w:left="180" w:hanging="270"/>
        <w:sectPr w:rsidR="004C2D72" w:rsidRPr="00EA72BB" w:rsidSect="004C2D72">
          <w:pgSz w:w="15840" w:h="12240" w:orient="landscape"/>
          <w:pgMar w:top="1800" w:right="1440" w:bottom="1800" w:left="1440" w:header="720" w:footer="720" w:gutter="0"/>
          <w:cols w:num="2" w:space="720"/>
          <w:docGrid w:linePitch="360"/>
        </w:sectPr>
      </w:pPr>
      <w:r w:rsidRPr="004C2D72">
        <w:rPr>
          <w:rFonts w:ascii="Cambria" w:hAnsi="Cambria" w:cs="Cambria"/>
          <w:sz w:val="20"/>
          <w:szCs w:val="20"/>
          <w:u w:color="0A0A08"/>
        </w:rPr>
        <w:t xml:space="preserve">Shah K, Spear J, </w:t>
      </w:r>
      <w:proofErr w:type="spellStart"/>
      <w:r w:rsidRPr="004C2D72">
        <w:rPr>
          <w:rFonts w:ascii="Cambria" w:hAnsi="Cambria" w:cs="Cambria"/>
          <w:sz w:val="20"/>
          <w:szCs w:val="20"/>
          <w:u w:color="0A0A08"/>
        </w:rPr>
        <w:t>Nathanson</w:t>
      </w:r>
      <w:proofErr w:type="spellEnd"/>
      <w:r w:rsidRPr="004C2D72">
        <w:rPr>
          <w:rFonts w:ascii="Cambria" w:hAnsi="Cambria" w:cs="Cambria"/>
          <w:sz w:val="20"/>
          <w:szCs w:val="20"/>
          <w:u w:color="0A0A08"/>
        </w:rPr>
        <w:t xml:space="preserve"> LA, McCauley J, </w:t>
      </w:r>
      <w:proofErr w:type="spellStart"/>
      <w:r w:rsidRPr="004C2D72">
        <w:rPr>
          <w:rFonts w:ascii="Cambria" w:hAnsi="Cambria" w:cs="Cambria"/>
          <w:sz w:val="20"/>
          <w:szCs w:val="20"/>
          <w:u w:color="0A0A08"/>
        </w:rPr>
        <w:t>Edlow</w:t>
      </w:r>
      <w:proofErr w:type="spellEnd"/>
      <w:r w:rsidRPr="004C2D72">
        <w:rPr>
          <w:rFonts w:ascii="Cambria" w:hAnsi="Cambria" w:cs="Cambria"/>
          <w:sz w:val="20"/>
          <w:szCs w:val="20"/>
          <w:u w:color="0A0A08"/>
        </w:rPr>
        <w:t xml:space="preserve"> JA. Does the presence of crystal arthritis rule out septic arthritis? J </w:t>
      </w:r>
      <w:proofErr w:type="spellStart"/>
      <w:r w:rsidRPr="004C2D72">
        <w:rPr>
          <w:rFonts w:ascii="Cambria" w:hAnsi="Cambria" w:cs="Cambria"/>
          <w:sz w:val="20"/>
          <w:szCs w:val="20"/>
          <w:u w:color="0A0A08"/>
        </w:rPr>
        <w:t>Emrg</w:t>
      </w:r>
      <w:proofErr w:type="spellEnd"/>
      <w:r w:rsidRPr="004C2D72">
        <w:rPr>
          <w:rFonts w:ascii="Cambria" w:hAnsi="Cambria" w:cs="Cambria"/>
          <w:sz w:val="20"/>
          <w:szCs w:val="20"/>
          <w:u w:color="0A0A08"/>
        </w:rPr>
        <w:t xml:space="preserve"> Med. 2007 Jan</w:t>
      </w:r>
      <w:proofErr w:type="gramStart"/>
      <w:r w:rsidRPr="004C2D72">
        <w:rPr>
          <w:rFonts w:ascii="Cambria" w:hAnsi="Cambria" w:cs="Cambria"/>
          <w:sz w:val="20"/>
          <w:szCs w:val="20"/>
          <w:u w:color="0A0A08"/>
        </w:rPr>
        <w:t>;32</w:t>
      </w:r>
      <w:proofErr w:type="gramEnd"/>
      <w:r w:rsidRPr="004C2D72">
        <w:rPr>
          <w:rFonts w:ascii="Cambria" w:hAnsi="Cambria" w:cs="Cambria"/>
          <w:sz w:val="20"/>
          <w:szCs w:val="20"/>
          <w:u w:color="0A0A08"/>
        </w:rPr>
        <w:t>(1):23-6</w:t>
      </w:r>
    </w:p>
    <w:p w14:paraId="61FED05C" w14:textId="77777777" w:rsidR="006A30B0" w:rsidRDefault="006A30B0" w:rsidP="004C2D72"/>
    <w:sectPr w:rsidR="006A30B0" w:rsidSect="004C2D72">
      <w:type w:val="continuous"/>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D643CE"/>
    <w:multiLevelType w:val="hybridMultilevel"/>
    <w:tmpl w:val="387EBD1A"/>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2">
    <w:nsid w:val="0CDC05C2"/>
    <w:multiLevelType w:val="hybridMultilevel"/>
    <w:tmpl w:val="2CF2B3C0"/>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3">
    <w:nsid w:val="1EC64140"/>
    <w:multiLevelType w:val="hybridMultilevel"/>
    <w:tmpl w:val="02B2E374"/>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4">
    <w:nsid w:val="293F7DB6"/>
    <w:multiLevelType w:val="hybridMultilevel"/>
    <w:tmpl w:val="2170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90A75"/>
    <w:multiLevelType w:val="hybridMultilevel"/>
    <w:tmpl w:val="48E4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C1431"/>
    <w:multiLevelType w:val="hybridMultilevel"/>
    <w:tmpl w:val="BED0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B2B3C"/>
    <w:multiLevelType w:val="hybridMultilevel"/>
    <w:tmpl w:val="AC4C8FAA"/>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8">
    <w:nsid w:val="60D51372"/>
    <w:multiLevelType w:val="hybridMultilevel"/>
    <w:tmpl w:val="54523F78"/>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5"/>
  </w:num>
  <w:num w:numId="14">
    <w:abstractNumId w:val="18"/>
  </w:num>
  <w:num w:numId="15">
    <w:abstractNumId w:val="12"/>
  </w:num>
  <w:num w:numId="16">
    <w:abstractNumId w:val="13"/>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72"/>
    <w:rsid w:val="004C2D72"/>
    <w:rsid w:val="006A30B0"/>
    <w:rsid w:val="00925F51"/>
    <w:rsid w:val="00D6001E"/>
    <w:rsid w:val="00E07D7C"/>
    <w:rsid w:val="00EA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A4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5832</Characters>
  <Application>Microsoft Macintosh Word</Application>
  <DocSecurity>0</DocSecurity>
  <Lines>48</Lines>
  <Paragraphs>13</Paragraphs>
  <ScaleCrop>false</ScaleCrop>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Cohn</dc:creator>
  <cp:keywords/>
  <dc:description/>
  <cp:lastModifiedBy>Steve Carroll</cp:lastModifiedBy>
  <cp:revision>2</cp:revision>
  <dcterms:created xsi:type="dcterms:W3CDTF">2013-12-06T14:20:00Z</dcterms:created>
  <dcterms:modified xsi:type="dcterms:W3CDTF">2013-12-06T14:20:00Z</dcterms:modified>
</cp:coreProperties>
</file>